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TECHNOLOGY ASSIGNMENT AGREEMENT</w:t>
      </w:r>
    </w:p>
    <w:p>
      <w:pPr>
        <w:spacing w:before="200" w:after="160"/>
        <w:jc w:val="center"/>
      </w:pPr>
      <w:r>
        <w:rPr>
          <w:b/>
          <w:color w:val="002060"/>
          <w:sz w:val="26"/>
        </w:rPr>
        <w:t>(India)</w:t>
      </w:r>
    </w:p>
    <w:p>
      <w:r>
        <w:rPr>
          <w:b w:val="0"/>
          <w:i/>
        </w:rPr>
        <w:t>Executed on this {{EXECUTION_DAY}} day of {{EXECUTION_MONTH}}, {{EXECUTION_YEAR}} at {{EXECUTION_PLACE}}, India.</w:t>
      </w:r>
    </w:p>
    <w:p/>
    <w:p>
      <w:pPr>
        <w:spacing w:before="240" w:after="80"/>
        <w:pBdr>
          <w:bottom w:val="single" w:sz="6" w:space="1" w:color="002060"/>
        </w:pBdr>
      </w:pPr>
      <w:r>
        <w:rPr>
          <w:b/>
          <w:color w:val="002060"/>
          <w:sz w:val="25"/>
        </w:rPr>
        <w:t>AGREEMENT SUMMARY</w:t>
      </w:r>
    </w:p>
    <w:tbl>
      <w:tblPr>
        <w:tblW w:type="auto" w:w="0"/>
        <w:jc w:val="center"/>
        <w:tblLayout w:type="fixed"/>
        <w:tblLook w:firstColumn="1" w:firstRow="1" w:lastColumn="0" w:lastRow="0" w:noHBand="0" w:noVBand="1" w:val="04A0"/>
      </w:tblPr>
      <w:tblGrid>
        <w:gridCol w:w="4873"/>
        <w:gridCol w:w="4873"/>
      </w:tblGrid>
      <w:tr>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95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Assignor</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{{ASSIGNOR_NAME}} ({{ASSIGNOR_DESCRIPTION}})</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Assignee (Company)</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{{COMPANY_NAME}} (CIN: {{COMPANY_CIN}})</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Effective Date</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{{EFFECTIVE_DATE}}</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Closing Date</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{{CLOSING_DATE}}</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Type of Assignment</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Outright / Exclusive Licence / Non-Exclusive Licence (mark applicable)</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Selected Type</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{{ASSIGNMENT_TYPE}}</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Consideration (₹)</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{{TOTAL_CONSIDERATION_INR}}</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Payment Schedule</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{{PAYMENT_SCHEDULE}}</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Territory</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{{TERRITORY}}</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Term (if licence)</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{{LICENCE_TERM}}</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Governing Law</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Laws of the Republic of India</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Seat of Arbitration</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{{ARBITRATION_SEAT_CITY}}, India</w:t>
            </w:r>
          </w:p>
        </w:tc>
      </w:tr>
      <w:tr>
        <w:tc>
          <w:tcPr>
            <w:tcW w:type="dxa" w:w="3402"/>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953"/>
            <w:tcBorders>
              <w:top w:val="single" w:sz="4" w:color="808080"/>
              <w:left w:val="single" w:sz="4" w:color="808080"/>
              <w:bottom w:val="single" w:sz="4" w:color="808080"/>
              <w:right w:val="single" w:sz="4" w:color="808080"/>
            </w:tcBorders>
            <w:vAlign w:val="center"/>
          </w:tcPr>
          <w:p>
            <w:pPr>
              <w:jc w:val="left"/>
            </w:pPr>
            <w:r/>
            <w:r>
              <w:rPr>
                <w:sz w:val="21"/>
              </w:rPr>
              <w:t>{{STAMP_DUTY_AMOUNT}}</w:t>
            </w:r>
          </w:p>
        </w:tc>
      </w:tr>
      <w:tr>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Cross-Border (Yes / No)</w:t>
            </w:r>
          </w:p>
        </w:tc>
        <w:tc>
          <w:tcPr>
            <w:tcW w:type="dxa" w:w="595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{{CROSS_BORDER_FLAG}}</w:t>
            </w:r>
          </w:p>
        </w:tc>
      </w:tr>
    </w:tbl>
    <w:p/>
    <w:p>
      <w:pPr>
        <w:spacing w:before="240" w:after="80"/>
        <w:pBdr>
          <w:bottom w:val="single" w:sz="6" w:space="1" w:color="002060"/>
        </w:pBdr>
      </w:pPr>
      <w:r>
        <w:rPr>
          <w:b/>
          <w:color w:val="002060"/>
          <w:sz w:val="25"/>
        </w:rPr>
        <w:t>PARTIES</w:t>
      </w:r>
    </w:p>
    <w:p>
      <w:pPr>
        <w:jc w:val="both"/>
      </w:pPr>
      <w:r>
        <w:rPr>
          <w:b w:val="0"/>
          <w:i w:val="0"/>
        </w:rPr>
        <w:t>This Technology Assignment Agreement (the “Agreement”) is made and entered into BY AND BETWEEN:</w:t>
      </w:r>
    </w:p>
    <w:p>
      <w:pPr>
        <w:jc w:val="both"/>
      </w:pPr>
      <w:r>
        <w:rPr>
          <w:b w:val="0"/>
          <w:i w:val="0"/>
        </w:rPr>
        <w:t>1.  {{ASSIGNOR_NAME}}, {{ASSIGNOR_LEGAL_FORM}} (a company / LLP / proprietorship / partnership / individual), incorporated / formed under {{ASSIGNOR_GOVERNING_LAW}}, having its registered office / address at {{ASSIGNOR_ADDRESS}}, PAN/TIN {{ASSIGNOR_PAN}}, and (in the case of a foreign Assignor) tax residency certificate {{ASSIGNOR_TRC}} (the “Assignor”) of the FIRST PART;</w:t>
      </w:r>
    </w:p>
    <w:p>
      <w:pPr>
        <w:jc w:val="both"/>
      </w:pPr>
      <w:r>
        <w:rPr>
          <w:b w:val="0"/>
          <w:i w:val="0"/>
        </w:rPr>
        <w:t>AND</w:t>
      </w:r>
    </w:p>
    <w:p>
      <w:pPr>
        <w:jc w:val="both"/>
      </w:pPr>
      <w:r>
        <w:rPr>
          <w:b w:val="0"/>
          <w:i w:val="0"/>
        </w:rPr>
        <w:t>2.  {{COMPANY_NAME}}, a private limited company incorporated under the Companies Act, 2013, having CIN {{COMPANY_CIN}}, with its registered office at {{COMPANY_REGISTERED_OFFICE}} (the “Assignee” or the “Company”) of the SECOND PART.</w:t>
      </w:r>
    </w:p>
    <w:p>
      <w:pPr>
        <w:jc w:val="both"/>
      </w:pPr>
      <w:r>
        <w:rPr>
          <w:b w:val="0"/>
          <w:i w:val="0"/>
        </w:rPr>
        <w:t>The Assignor and the Assignee are individually a “Party” and collectively the “Parties”.</w:t>
      </w:r>
    </w:p>
    <w:p>
      <w:pPr>
        <w:spacing w:before="240" w:after="80"/>
        <w:pBdr>
          <w:bottom w:val="single" w:sz="6" w:space="1" w:color="002060"/>
        </w:pBdr>
      </w:pPr>
      <w:r>
        <w:rPr>
          <w:b/>
          <w:color w:val="002060"/>
          <w:sz w:val="25"/>
        </w:rPr>
        <w:t>RECITALS</w:t>
      </w:r>
    </w:p>
    <w:p>
      <w:pPr>
        <w:spacing w:before="40"/>
        <w:ind w:left="454"/>
        <w:jc w:val="both"/>
      </w:pPr>
      <w:r>
        <w:rPr>
          <w:b/>
        </w:rPr>
        <w:t xml:space="preserve">A. </w:t>
      </w:r>
      <w:r>
        <w:t>The Assignor is the sole, legal and beneficial owner of, or has the rightful authority to deal with, the Technology more particularly described in Schedule 1 (the “Subject Technology”), comprising {{SUBJECT_TECH_SHORT_DESC}}.</w:t>
      </w:r>
    </w:p>
    <w:p>
      <w:pPr>
        <w:spacing w:before="40"/>
        <w:ind w:left="454"/>
        <w:jc w:val="both"/>
      </w:pPr>
      <w:r>
        <w:rPr>
          <w:b/>
        </w:rPr>
        <w:t xml:space="preserve">B. </w:t>
      </w:r>
      <w:r>
        <w:t>The Company is engaged in the business of {{BUSINESS_DESCRIPTION}} and wishes to acquire all right, title and interest in the Subject Technology (or, if so elected, an exclusive licence thereto) for use in its Business.</w:t>
      </w:r>
    </w:p>
    <w:p>
      <w:pPr>
        <w:spacing w:before="40"/>
        <w:ind w:left="454"/>
        <w:jc w:val="both"/>
      </w:pPr>
      <w:r>
        <w:rPr>
          <w:b/>
        </w:rPr>
        <w:t xml:space="preserve">C. </w:t>
      </w:r>
      <w:r>
        <w:t>The Parties have agreed on the terms of the assignment / licence of the Subject Technology and wish to record those terms in writing in this Agreement.</w:t>
      </w:r>
    </w:p>
    <w:p>
      <w:pPr>
        <w:spacing w:before="40"/>
        <w:ind w:left="454"/>
        <w:jc w:val="both"/>
      </w:pPr>
      <w:r>
        <w:rPr>
          <w:b/>
        </w:rPr>
        <w:t xml:space="preserve">D. </w:t>
      </w:r>
      <w:r>
        <w:t>Each Party has the legal capacity and authority to enter into and perform this Agreement.</w:t>
      </w:r>
    </w:p>
    <w:p/>
    <w:p>
      <w:pPr>
        <w:jc w:val="both"/>
      </w:pPr>
      <w:r>
        <w:rPr>
          <w:b/>
          <w:i w:val="0"/>
        </w:rPr>
        <w:t>NOW THEREFORE, in consideration of the mutual covenants and the Consideration set out herein, the Parties agree as follows:</w:t>
      </w:r>
    </w:p>
    <w:p>
      <w:r>
        <w:br w:type="page"/>
      </w:r>
    </w:p>
    <w:p>
      <w:pPr>
        <w:spacing w:before="240" w:after="80"/>
        <w:pBdr>
          <w:bottom w:val="single" w:sz="6" w:space="1" w:color="002060"/>
        </w:pBdr>
      </w:pPr>
      <w:r>
        <w:rPr>
          <w:b/>
          <w:color w:val="002060"/>
          <w:sz w:val="25"/>
        </w:rPr>
        <w:t>1.  DEFINITIONS AND INTERPRETATION</w:t>
      </w:r>
    </w:p>
    <w:tbl>
      <w:tblPr>
        <w:tblW w:type="auto" w:w="0"/>
        <w:jc w:val="center"/>
        <w:tblLayout w:type="fixed"/>
        <w:tblLook w:firstColumn="1" w:firstRow="1" w:lastColumn="0" w:lastRow="0" w:noHBand="0" w:noVBand="1" w:val="04A0"/>
      </w:tblPr>
      <w:tblGrid>
        <w:gridCol w:w="4873"/>
        <w:gridCol w:w="4873"/>
      </w:tblGrid>
      <w:tr>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Term</w:t>
            </w:r>
          </w:p>
        </w:tc>
        <w:tc>
          <w:tcPr>
            <w:tcW w:type="dxa" w:w="680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Definition</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“Acceptance Date”</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date on which the Company confirms acceptance of the Subject Technology after completing User Acceptance Testing, as defined in Clause 4.3.</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“Assignment Documents”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deeds, instruments, registration forms and source-code delivery documents set out in Schedule 2.</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“Closing”</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completion of the assignment / licence in accordance with Clause 4.</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“Confidential Information”</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all non-public information of either Party, including the Subject Technology and its components, business plans, financial information and other proprietary data.</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“Consideration”</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total consideration payable by the Company under Clause 5.</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“Encumbrance”</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any mortgage, charge, lien, pledge, hypothecation, security interest, option, retention of title or other encumbrance.</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“IP”</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Intellectual Property, comprising patents, copyrights (including in source / object code, documentation, training data and ML model weights), trade marks, designs, trade secrets, know-how, database rights and all rights similar or analogous under the laws of India or any other jurisdiction.</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“Subject Technology”</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technology described in Schedule 1, including (a) Source Code; (b) Object Code; (c) Documentation; (d) Datasets; (e) Models; (f) Patents and patent applications; (g) Designs; (h) Trade Marks and Domain Names; (i) Trade Secrets and Know-How; and (j) all derivative works, modifications, enhancements and improvements thereof.</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“Source Code”</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human-readable form of computer software, including build scripts, configuration files, schemas, and accompanying documentation.</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“Documentation”</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all design documents, architecture diagrams, API specifications, user manuals, training materials, technical and operational documentation relating to the Subject Technology.</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“Datasets”</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all training data, validation data, test data, and other datasets comprised in or relevant to the Subject Technology, together with any data dictionaries and annotation guidelines.</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“Models”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all machine-learning / AI models, their weights, hyper-parameters, checkpoints, embeddings, prompts, and related metadata.</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“Territory”</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{{TERRITORY}} (worldwide, unless otherwise specified).</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“User Acceptance Testing” / “UAT”</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testing carried out by the Company pursuant to Clause 4.3 to confirm conformance of the Subject Technology with the Acceptance Criteria in Schedule 5.</w:t>
            </w:r>
          </w:p>
        </w:tc>
      </w:tr>
    </w:tbl>
    <w:p/>
    <w:p>
      <w:pPr>
        <w:spacing w:before="240" w:after="80"/>
        <w:pBdr>
          <w:bottom w:val="single" w:sz="6" w:space="1" w:color="002060"/>
        </w:pBdr>
      </w:pPr>
      <w:r>
        <w:rPr>
          <w:b/>
          <w:color w:val="002060"/>
          <w:sz w:val="25"/>
        </w:rPr>
        <w:t>2.  ASSIGNMENT / LICENCE OF SUBJECT TECHNOLOGY</w:t>
      </w:r>
    </w:p>
    <w:p>
      <w:pPr>
        <w:spacing w:before="80"/>
        <w:jc w:val="both"/>
      </w:pPr>
      <w:r>
        <w:rPr>
          <w:b/>
        </w:rPr>
        <w:t xml:space="preserve">2.1 </w:t>
      </w:r>
      <w:r>
        <w:rPr>
          <w:b/>
        </w:rPr>
        <w:t xml:space="preserve">Election. </w:t>
      </w:r>
      <w:r>
        <w:t>Subject to Clause 2.4, the Parties have elected that the Subject Technology shall be transferred by way of {{ASSIGNMENT_TYPE}}. Delete inapplicable alternatives below.</w:t>
      </w:r>
    </w:p>
    <w:p>
      <w:pPr>
        <w:spacing w:before="160" w:after="60"/>
      </w:pPr>
      <w:r>
        <w:rPr>
          <w:b/>
          <w:color w:val="002060"/>
          <w:sz w:val="23"/>
        </w:rPr>
        <w:t>ALTERNATIVE A — OUTRIGHT ASSIGNMENT</w:t>
      </w:r>
    </w:p>
    <w:p>
      <w:pPr>
        <w:spacing w:before="80"/>
        <w:jc w:val="both"/>
      </w:pPr>
      <w:r>
        <w:rPr>
          <w:b/>
        </w:rPr>
        <w:t xml:space="preserve">2.2 </w:t>
      </w:r>
      <w:r>
        <w:rPr>
          <w:b/>
        </w:rPr>
        <w:t xml:space="preserve">Outright Assignment. </w:t>
      </w:r>
      <w:r>
        <w:t>Subject to receipt of the Consideration in accordance with Clause 5, the Assignor HEREBY absolutely, irrevocably, unconditionally and exclusively ASSIGNS, TRANSFERS, CONVEYS, SETS OVER, GRANTS and DELIVERS to the Company, its successors and assigns, free from all Encumbrances, all right, title and interest, including all IP rights, in and to the Subject Technology, in the Territory, in perpetuity (or for the full term of all such rights and renewals), free from any claim of third parties.</w:t>
      </w:r>
    </w:p>
    <w:p>
      <w:pPr>
        <w:spacing w:before="160" w:after="60"/>
      </w:pPr>
      <w:r>
        <w:rPr>
          <w:b/>
          <w:color w:val="002060"/>
          <w:sz w:val="23"/>
        </w:rPr>
        <w:t>ALTERNATIVE B — EXCLUSIVE LICENCE</w:t>
      </w:r>
    </w:p>
    <w:p>
      <w:pPr>
        <w:spacing w:before="80"/>
        <w:jc w:val="both"/>
      </w:pPr>
      <w:r>
        <w:rPr>
          <w:b/>
        </w:rPr>
        <w:t xml:space="preserve">2.3 </w:t>
      </w:r>
      <w:r>
        <w:rPr>
          <w:b/>
        </w:rPr>
        <w:t xml:space="preserve">Exclusive Licence. </w:t>
      </w:r>
      <w:r>
        <w:t>Subject to receipt of the Consideration, the Assignor hereby grants to the Company an exclusive, worldwide (or limited to the Territory), perpetual, irrevocable, royalty-free, sub-licensable and assignable licence to use, copy, modify, reproduce, create derivative works of, distribute, publicly display, publicly perform, sell, offer for sale, import, export and otherwise commercially exploit the Subject Technology, including the right to enforce the same against third parties.</w:t>
      </w:r>
    </w:p>
    <w:p>
      <w:pPr>
        <w:spacing w:before="80"/>
        <w:jc w:val="both"/>
      </w:pPr>
      <w:r>
        <w:rPr>
          <w:b/>
        </w:rPr>
        <w:t xml:space="preserve">2.4 </w:t>
      </w:r>
      <w:r>
        <w:rPr>
          <w:b/>
        </w:rPr>
        <w:t xml:space="preserve">Reservations / Carve-Outs. </w:t>
      </w:r>
      <w:r>
        <w:t>The assignment / licence is subject to the carve-outs and reservations (if any) set out in Schedule 3. The Assignor expressly disclaims any retention of any other right, title or interest in the Subject Technology.</w:t>
      </w:r>
    </w:p>
    <w:p>
      <w:pPr>
        <w:spacing w:before="80"/>
        <w:jc w:val="both"/>
      </w:pPr>
      <w:r>
        <w:rPr>
          <w:b/>
        </w:rPr>
        <w:t xml:space="preserve">2.5 </w:t>
      </w:r>
      <w:r>
        <w:rPr>
          <w:b/>
        </w:rPr>
        <w:t xml:space="preserve">Further Rights. </w:t>
      </w:r>
      <w:r>
        <w:t>Without limiting the generality of the foregoing, the Company shall have the exclusive right to:</w:t>
      </w:r>
    </w:p>
    <w:p>
      <w:pPr>
        <w:spacing w:before="40"/>
        <w:ind w:left="454"/>
        <w:jc w:val="both"/>
      </w:pPr>
      <w:r>
        <w:rPr>
          <w:b/>
        </w:rPr>
        <w:t xml:space="preserve">(a) </w:t>
      </w:r>
      <w:r>
        <w:t>register the Subject Technology in its name with any IP office or registry in India or any other jurisdiction;</w:t>
      </w:r>
    </w:p>
    <w:p>
      <w:pPr>
        <w:spacing w:before="40"/>
        <w:ind w:left="454"/>
        <w:jc w:val="both"/>
      </w:pPr>
      <w:r>
        <w:rPr>
          <w:b/>
        </w:rPr>
        <w:t xml:space="preserve">(b) </w:t>
      </w:r>
      <w:r>
        <w:t>enforce the Subject Technology against third-party infringers and recover damages, including for past, present and future infringements;</w:t>
      </w:r>
    </w:p>
    <w:p>
      <w:pPr>
        <w:spacing w:before="40"/>
        <w:ind w:left="454"/>
        <w:jc w:val="both"/>
      </w:pPr>
      <w:r>
        <w:rPr>
          <w:b/>
        </w:rPr>
        <w:t xml:space="preserve">(c) </w:t>
      </w:r>
      <w:r>
        <w:t>sub-license or further assign the Subject Technology;</w:t>
      </w:r>
    </w:p>
    <w:p>
      <w:pPr>
        <w:spacing w:before="40"/>
        <w:ind w:left="454"/>
        <w:jc w:val="both"/>
      </w:pPr>
      <w:r>
        <w:rPr>
          <w:b/>
        </w:rPr>
        <w:t xml:space="preserve">(d) </w:t>
      </w:r>
      <w:r>
        <w:t>modify, adapt, enhance or create derivative works of the Subject Technology;</w:t>
      </w:r>
    </w:p>
    <w:p>
      <w:pPr>
        <w:spacing w:before="40"/>
        <w:ind w:left="454"/>
        <w:jc w:val="both"/>
      </w:pPr>
      <w:r>
        <w:rPr>
          <w:b/>
        </w:rPr>
        <w:t xml:space="preserve">(e) </w:t>
      </w:r>
      <w:r>
        <w:t>use the Subject Technology in any product, service, platform or system, alone or in combination.</w:t>
      </w:r>
    </w:p>
    <w:p>
      <w:pPr>
        <w:spacing w:before="240" w:after="80"/>
        <w:pBdr>
          <w:bottom w:val="single" w:sz="6" w:space="1" w:color="002060"/>
        </w:pBdr>
      </w:pPr>
      <w:r>
        <w:rPr>
          <w:b/>
          <w:color w:val="002060"/>
          <w:sz w:val="25"/>
        </w:rPr>
        <w:t>3.  RETAINED RIGHTS, OPEN-SOURCE AND THIRD-PARTY COMPONENTS</w:t>
      </w:r>
    </w:p>
    <w:p>
      <w:pPr>
        <w:spacing w:before="80"/>
        <w:jc w:val="both"/>
      </w:pPr>
      <w:r>
        <w:rPr>
          <w:b/>
        </w:rPr>
        <w:t xml:space="preserve">3.1 </w:t>
      </w:r>
      <w:r>
        <w:rPr>
          <w:b/>
        </w:rPr>
        <w:t xml:space="preserve">Retained Rights. </w:t>
      </w:r>
      <w:r>
        <w:t>If, and only to the extent expressly set out in Schedule 3, the Assignor may retain certain limited rights in respect of the Subject Technology, which shall not interfere with the Company’s use of the Subject Technology for the Business.</w:t>
      </w:r>
    </w:p>
    <w:p>
      <w:pPr>
        <w:spacing w:before="80"/>
        <w:jc w:val="both"/>
      </w:pPr>
      <w:r>
        <w:rPr>
          <w:b/>
        </w:rPr>
        <w:t xml:space="preserve">3.2 </w:t>
      </w:r>
      <w:r>
        <w:rPr>
          <w:b/>
        </w:rPr>
        <w:t xml:space="preserve">Open Source. </w:t>
      </w:r>
      <w:r>
        <w:t>The Assignor has disclosed in Schedule 4 all open source software components embedded in or accompanying the Subject Technology, together with the applicable licences. The Assignor warrants that all such usage complies with the applicable open source licences and does not result in any “copyleft contamination” to the Subject Technology beyond what is described.</w:t>
      </w:r>
    </w:p>
    <w:p>
      <w:pPr>
        <w:spacing w:before="80"/>
        <w:jc w:val="both"/>
      </w:pPr>
      <w:r>
        <w:rPr>
          <w:b/>
        </w:rPr>
        <w:t xml:space="preserve">3.3 </w:t>
      </w:r>
      <w:r>
        <w:rPr>
          <w:b/>
        </w:rPr>
        <w:t xml:space="preserve">Third-Party Components. </w:t>
      </w:r>
      <w:r>
        <w:t>All licensed third-party components (including SaaS APIs, third-party SDKs, fonts, icon sets, datasets, pre-trained models) are listed in Schedule 6, together with the applicable licences and assignability terms. The Assignor shall take all steps to transfer or novate such licences to the Company where transferable; where not transferable, the Assignor shall provide reasonable cooperation to the Company in procuring fresh licences.</w:t>
      </w:r>
    </w:p>
    <w:p>
      <w:pPr>
        <w:spacing w:before="240" w:after="80"/>
        <w:pBdr>
          <w:bottom w:val="single" w:sz="6" w:space="1" w:color="002060"/>
        </w:pBdr>
      </w:pPr>
      <w:r>
        <w:rPr>
          <w:b/>
          <w:color w:val="002060"/>
          <w:sz w:val="25"/>
        </w:rPr>
        <w:t>4.  DELIVERY, UAT AND CLOSING</w:t>
      </w:r>
    </w:p>
    <w:p>
      <w:pPr>
        <w:spacing w:before="80"/>
        <w:jc w:val="both"/>
      </w:pPr>
      <w:r>
        <w:rPr>
          <w:b/>
        </w:rPr>
        <w:t xml:space="preserve">4.1 </w:t>
      </w:r>
      <w:r>
        <w:rPr>
          <w:b/>
        </w:rPr>
        <w:t xml:space="preserve">Delivery. </w:t>
      </w:r>
      <w:r>
        <w:t>On or before {{DELIVERY_DATE}}, the Assignor shall deliver to the Company, in the form, medium and location specified in Schedule 7 (Delivery Specification):</w:t>
      </w:r>
    </w:p>
    <w:p>
      <w:pPr>
        <w:spacing w:before="40"/>
        <w:ind w:left="454"/>
        <w:jc w:val="both"/>
      </w:pPr>
      <w:r>
        <w:rPr>
          <w:b/>
        </w:rPr>
        <w:t xml:space="preserve">(a) </w:t>
      </w:r>
      <w:r>
        <w:t>all Source Code, Object Code, build scripts, configuration files and infrastructure-as-code, with full commit history and branches;</w:t>
      </w:r>
    </w:p>
    <w:p>
      <w:pPr>
        <w:spacing w:before="40"/>
        <w:ind w:left="454"/>
        <w:jc w:val="both"/>
      </w:pPr>
      <w:r>
        <w:rPr>
          <w:b/>
        </w:rPr>
        <w:t xml:space="preserve">(b) </w:t>
      </w:r>
      <w:r>
        <w:t>all Datasets, with documented sourcing, licences and consent records;</w:t>
      </w:r>
    </w:p>
    <w:p>
      <w:pPr>
        <w:spacing w:before="40"/>
        <w:ind w:left="454"/>
        <w:jc w:val="both"/>
      </w:pPr>
      <w:r>
        <w:rPr>
          <w:b/>
        </w:rPr>
        <w:t xml:space="preserve">(c) </w:t>
      </w:r>
      <w:r>
        <w:t>all Models, with weights, hyper-parameters, training logs and evaluation reports;</w:t>
      </w:r>
    </w:p>
    <w:p>
      <w:pPr>
        <w:spacing w:before="40"/>
        <w:ind w:left="454"/>
        <w:jc w:val="both"/>
      </w:pPr>
      <w:r>
        <w:rPr>
          <w:b/>
        </w:rPr>
        <w:t xml:space="preserve">(d) </w:t>
      </w:r>
      <w:r>
        <w:t>all Documentation, including architecture diagrams, runbooks, API specifications, security reviews and penetration test reports;</w:t>
      </w:r>
    </w:p>
    <w:p>
      <w:pPr>
        <w:spacing w:before="40"/>
        <w:ind w:left="454"/>
        <w:jc w:val="both"/>
      </w:pPr>
      <w:r>
        <w:rPr>
          <w:b/>
        </w:rPr>
        <w:t xml:space="preserve">(e) </w:t>
      </w:r>
      <w:r>
        <w:t>all registered IP certificates, applications and prosecution histories;</w:t>
      </w:r>
    </w:p>
    <w:p>
      <w:pPr>
        <w:spacing w:before="40"/>
        <w:ind w:left="454"/>
        <w:jc w:val="both"/>
      </w:pPr>
      <w:r>
        <w:rPr>
          <w:b/>
        </w:rPr>
        <w:t xml:space="preserve">(f) </w:t>
      </w:r>
      <w:r>
        <w:t>all admin credentials, repository access, cloud account access, domain name registrations and DNS controls;</w:t>
      </w:r>
    </w:p>
    <w:p>
      <w:pPr>
        <w:spacing w:before="40"/>
        <w:ind w:left="454"/>
        <w:jc w:val="both"/>
      </w:pPr>
      <w:r>
        <w:rPr>
          <w:b/>
        </w:rPr>
        <w:t xml:space="preserve">(g) </w:t>
      </w:r>
      <w:r>
        <w:t>executed Assignment Documents in respect of registrable IP (Form 16 for patents; TM-P for trade marks; Form 10 for designs; voluntary copyright assignment).</w:t>
      </w:r>
    </w:p>
    <w:p>
      <w:pPr>
        <w:spacing w:before="80"/>
        <w:jc w:val="both"/>
      </w:pPr>
      <w:r>
        <w:rPr>
          <w:b/>
        </w:rPr>
        <w:t xml:space="preserve">4.2 </w:t>
      </w:r>
      <w:r>
        <w:rPr>
          <w:b/>
        </w:rPr>
        <w:t xml:space="preserve">Knowledge Transfer. </w:t>
      </w:r>
      <w:r>
        <w:t>The Assignor shall provide reasonable knowledge-transfer support during the Knowledge-Transfer Period of {{KT_PERIOD_DAYS}} days following Delivery, at no additional cost, in the form of (a) on-site / virtual workshops; (b) walkthroughs of the Source Code, Datasets and Models; and (c) Q&amp;A sessions, up to {{KT_HOURS}} hours in aggregate.</w:t>
      </w:r>
    </w:p>
    <w:p>
      <w:pPr>
        <w:spacing w:before="80"/>
        <w:jc w:val="both"/>
      </w:pPr>
      <w:r>
        <w:rPr>
          <w:b/>
        </w:rPr>
        <w:t xml:space="preserve">4.3 </w:t>
      </w:r>
      <w:r>
        <w:rPr>
          <w:b/>
        </w:rPr>
        <w:t xml:space="preserve">User Acceptance Testing. </w:t>
      </w:r>
      <w:r>
        <w:t>Within {{UAT_PERIOD_DAYS}} days following Delivery, the Company shall conduct UAT against the Acceptance Criteria in Schedule 5. If the Subject Technology fails UAT, the Assignor shall, at its cost, remediate non-conformities and re-deliver. The Subject Technology shall be deemed accepted on the earlier of (a) the Company’s written acceptance; and (b) {{DEEMED_ACCEPTANCE_DAYS}} days from Delivery without written objection. The date of acceptance is the “Acceptance Date”.</w:t>
      </w:r>
    </w:p>
    <w:p>
      <w:pPr>
        <w:spacing w:before="80"/>
        <w:jc w:val="both"/>
      </w:pPr>
      <w:r>
        <w:rPr>
          <w:b/>
        </w:rPr>
        <w:t xml:space="preserve">4.4 </w:t>
      </w:r>
      <w:r>
        <w:rPr>
          <w:b/>
        </w:rPr>
        <w:t xml:space="preserve">Closing Deliverables. </w:t>
      </w:r>
      <w:r>
        <w:t>On Closing (which shall be on the Acceptance Date), the Parties shall exchange:</w:t>
      </w:r>
    </w:p>
    <w:p>
      <w:pPr>
        <w:spacing w:before="40"/>
        <w:ind w:left="454"/>
        <w:jc w:val="both"/>
      </w:pPr>
      <w:r>
        <w:rPr>
          <w:b/>
        </w:rPr>
        <w:t xml:space="preserve">(a) </w:t>
      </w:r>
      <w:r>
        <w:t>executed Assignment Documents (in counterpart);</w:t>
      </w:r>
    </w:p>
    <w:p>
      <w:pPr>
        <w:spacing w:before="40"/>
        <w:ind w:left="454"/>
        <w:jc w:val="both"/>
      </w:pPr>
      <w:r>
        <w:rPr>
          <w:b/>
        </w:rPr>
        <w:t xml:space="preserve">(b) </w:t>
      </w:r>
      <w:r>
        <w:t>Board resolutions of the Assignor authorising the transaction (if a corporate Assignor);</w:t>
      </w:r>
    </w:p>
    <w:p>
      <w:pPr>
        <w:spacing w:before="40"/>
        <w:ind w:left="454"/>
        <w:jc w:val="both"/>
      </w:pPr>
      <w:r>
        <w:rPr>
          <w:b/>
        </w:rPr>
        <w:t xml:space="preserve">(c) </w:t>
      </w:r>
      <w:r>
        <w:t>confirmation of payment of Consideration (or first tranche) to the Assignor’s bank account;</w:t>
      </w:r>
    </w:p>
    <w:p>
      <w:pPr>
        <w:spacing w:before="40"/>
        <w:ind w:left="454"/>
        <w:jc w:val="both"/>
      </w:pPr>
      <w:r>
        <w:rPr>
          <w:b/>
        </w:rPr>
        <w:t xml:space="preserve">(d) </w:t>
      </w:r>
      <w:r>
        <w:t>completion certificate signed by both Parties;</w:t>
      </w:r>
    </w:p>
    <w:p>
      <w:pPr>
        <w:spacing w:before="40"/>
        <w:ind w:left="454"/>
        <w:jc w:val="both"/>
      </w:pPr>
      <w:r>
        <w:rPr>
          <w:b/>
        </w:rPr>
        <w:t xml:space="preserve">(e) </w:t>
      </w:r>
      <w:r>
        <w:t>any other documents reasonably required by the Company.</w:t>
      </w:r>
    </w:p>
    <w:p>
      <w:pPr>
        <w:spacing w:before="240" w:after="80"/>
        <w:pBdr>
          <w:bottom w:val="single" w:sz="6" w:space="1" w:color="002060"/>
        </w:pBdr>
      </w:pPr>
      <w:r>
        <w:rPr>
          <w:b/>
          <w:color w:val="002060"/>
          <w:sz w:val="25"/>
        </w:rPr>
        <w:t>5.  CONSIDERATION</w:t>
      </w:r>
    </w:p>
    <w:p>
      <w:pPr>
        <w:spacing w:before="80"/>
        <w:jc w:val="both"/>
      </w:pPr>
      <w:r>
        <w:rPr>
          <w:b/>
        </w:rPr>
        <w:t xml:space="preserve">5.1 </w:t>
      </w:r>
      <w:r>
        <w:rPr>
          <w:b/>
        </w:rPr>
        <w:t xml:space="preserve">Consideration. </w:t>
      </w:r>
      <w:r>
        <w:t>In consideration of the assignment / licence and the other obligations of the Assignor hereunder, the Company shall pay to the Assignor a sum of ₹ {{TOTAL_CONSIDERATION_INR}} (Rupees {{TOTAL_CONSIDERATION_INR_WORDS}} only), being the “Consideration”.</w:t>
      </w:r>
    </w:p>
    <w:p>
      <w:pPr>
        <w:spacing w:before="80"/>
        <w:jc w:val="both"/>
      </w:pPr>
      <w:r>
        <w:rPr>
          <w:b/>
        </w:rPr>
        <w:t xml:space="preserve">5.2 </w:t>
      </w:r>
      <w:r>
        <w:rPr>
          <w:b/>
        </w:rPr>
        <w:t xml:space="preserve">Payment Schedule. </w:t>
      </w:r>
      <w:r>
        <w:t>The Consideration shall be paid in accordance with the Payment Schedule in Schedule 8.</w:t>
      </w:r>
    </w:p>
    <w:p>
      <w:pPr>
        <w:spacing w:before="80"/>
        <w:jc w:val="both"/>
      </w:pPr>
      <w:r>
        <w:rPr>
          <w:b/>
        </w:rPr>
        <w:t xml:space="preserve">5.3 </w:t>
      </w:r>
      <w:r>
        <w:rPr>
          <w:b/>
        </w:rPr>
        <w:t xml:space="preserve">Taxes. </w:t>
      </w:r>
      <w:r>
        <w:t>The Consideration is exclusive of GST. The Company shall, upon receipt of a valid tax invoice, pay the applicable GST. Where the Assignor is a non-resident, the Company shall withhold tax at source under Section 195 of the Income-tax Act, 1961 and equalisation levy / royalty withholding as applicable, and shall provide a withholding tax certificate to the Assignor. The Assignor shall provide TRC, Form 10F and PAN as required.</w:t>
      </w:r>
    </w:p>
    <w:p>
      <w:pPr>
        <w:spacing w:before="80"/>
        <w:jc w:val="both"/>
      </w:pPr>
      <w:r>
        <w:rPr>
          <w:b/>
        </w:rPr>
        <w:t xml:space="preserve">5.4 </w:t>
      </w:r>
      <w:r>
        <w:rPr>
          <w:b/>
        </w:rPr>
        <w:t xml:space="preserve">Holdback. </w:t>
      </w:r>
      <w:r>
        <w:t>An amount of ₹ {{HOLDBACK_INR}} (the “Holdback”) shall be retained by the Company for a period of {{HOLDBACK_MONTHS}} months from the Acceptance Date, to secure indemnification and warranty claims. The Holdback shall be released subject to deductions for valid indemnity claims.</w:t>
      </w:r>
    </w:p>
    <w:p>
      <w:pPr>
        <w:spacing w:before="240" w:after="80"/>
        <w:pBdr>
          <w:bottom w:val="single" w:sz="6" w:space="1" w:color="002060"/>
        </w:pBdr>
      </w:pPr>
      <w:r>
        <w:rPr>
          <w:b/>
          <w:color w:val="002060"/>
          <w:sz w:val="25"/>
        </w:rPr>
        <w:t>6.  REPRESENTATIONS AND WARRANTIES</w:t>
      </w:r>
    </w:p>
    <w:p>
      <w:pPr>
        <w:jc w:val="both"/>
      </w:pPr>
      <w:r>
        <w:rPr>
          <w:b w:val="0"/>
          <w:i w:val="0"/>
        </w:rPr>
        <w:t>The Assignor represents and warrants to the Company that:</w:t>
      </w:r>
    </w:p>
    <w:p>
      <w:pPr>
        <w:pStyle w:val="ListBullet"/>
        <w:spacing w:after="40"/>
        <w:ind w:left="567"/>
        <w:jc w:val="both"/>
      </w:pPr>
      <w:r>
        <w:t>Authority: The Assignor has full power, capacity and authority to enter into and perform this Agreement, and (where a corporate Assignor) all corporate approvals have been obtained.</w:t>
      </w:r>
    </w:p>
    <w:p>
      <w:pPr>
        <w:pStyle w:val="ListBullet"/>
        <w:spacing w:after="40"/>
        <w:ind w:left="567"/>
        <w:jc w:val="both"/>
      </w:pPr>
      <w:r>
        <w:t>Ownership: The Assignor is the sole, legal and beneficial owner of the Subject Technology, with full right and title, free and clear of all Encumbrances.</w:t>
      </w:r>
    </w:p>
    <w:p>
      <w:pPr>
        <w:pStyle w:val="ListBullet"/>
        <w:spacing w:after="40"/>
        <w:ind w:left="567"/>
        <w:jc w:val="both"/>
      </w:pPr>
      <w:r>
        <w:t>No Conflict: The execution and performance of this Agreement does not conflict with, or result in breach of, any agreement, fiduciary duty, employment relationship, or applicable law.</w:t>
      </w:r>
    </w:p>
    <w:p>
      <w:pPr>
        <w:pStyle w:val="ListBullet"/>
        <w:spacing w:after="40"/>
        <w:ind w:left="567"/>
        <w:jc w:val="both"/>
      </w:pPr>
      <w:r>
        <w:t>Non-Infringement: The Subject Technology and its use by the Company in accordance with this Agreement does not, and will not, infringe any IP, privacy, publicity or other right of any third party, and no claim alleging such infringement is pending or, to the Assignor’s knowledge, threatened.</w:t>
      </w:r>
    </w:p>
    <w:p>
      <w:pPr>
        <w:pStyle w:val="ListBullet"/>
        <w:spacing w:after="40"/>
        <w:ind w:left="567"/>
        <w:jc w:val="both"/>
      </w:pPr>
      <w:r>
        <w:t>Originality / Authorship: The Subject Technology is original to the Assignor or has been lawfully acquired with assignment of rights from all relevant authors / inventors / contributors; all necessary consents and waivers (including of moral rights) have been obtained.</w:t>
      </w:r>
    </w:p>
    <w:p>
      <w:pPr>
        <w:pStyle w:val="ListBullet"/>
        <w:spacing w:after="40"/>
        <w:ind w:left="567"/>
        <w:jc w:val="both"/>
      </w:pPr>
      <w:r>
        <w:t>Open Source / Third Party: Schedule 4 (Open Source) and Schedule 6 (Third-Party Components) are true, complete and accurate; there has been no breach of any open source licence; no GPL/AGPL ‘copyleft’ contamination beyond the boundaries disclosed.</w:t>
      </w:r>
    </w:p>
    <w:p>
      <w:pPr>
        <w:pStyle w:val="ListBullet"/>
        <w:spacing w:after="40"/>
        <w:ind w:left="567"/>
        <w:jc w:val="both"/>
      </w:pPr>
      <w:r>
        <w:t>Data &amp; Privacy: All Datasets included in the Subject Technology have been collected, processed and used in compliance with the Digital Personal Data Protection Act, 2023 (once notified), the Information Technology Act, 2000 and the IT (Reasonable Security Practices) Rules, 2011; the requisite consents / lawful basis exist; no personal data has been unlawfully obtained.</w:t>
      </w:r>
    </w:p>
    <w:p>
      <w:pPr>
        <w:pStyle w:val="ListBullet"/>
        <w:spacing w:after="40"/>
        <w:ind w:left="567"/>
        <w:jc w:val="both"/>
      </w:pPr>
      <w:r>
        <w:t>No Malicious Code: The Subject Technology does not contain any virus, malware, ransomware, spyware, trojan, time-bomb, backdoor or disabling code.</w:t>
      </w:r>
    </w:p>
    <w:p>
      <w:pPr>
        <w:pStyle w:val="ListBullet"/>
        <w:spacing w:after="40"/>
        <w:ind w:left="567"/>
        <w:jc w:val="both"/>
      </w:pPr>
      <w:r>
        <w:t>Security: The Subject Technology has been developed in accordance with industry-accepted secure development practices (OWASP / NIST SSDF); no high or critical vulnerabilities are known and unremediated.</w:t>
      </w:r>
    </w:p>
    <w:p>
      <w:pPr>
        <w:pStyle w:val="ListBullet"/>
        <w:spacing w:after="40"/>
        <w:ind w:left="567"/>
        <w:jc w:val="both"/>
      </w:pPr>
      <w:r>
        <w:t>Performance: The Subject Technology conforms to the specifications and performance criteria in Schedule 1 and the Acceptance Criteria in Schedule 5.</w:t>
      </w:r>
    </w:p>
    <w:p>
      <w:pPr>
        <w:pStyle w:val="ListBullet"/>
        <w:spacing w:after="40"/>
        <w:ind w:left="567"/>
        <w:jc w:val="both"/>
      </w:pPr>
      <w:r>
        <w:t>No Government Funding: No part of the Subject Technology has been developed using government grants or in collaboration with public-sector research institutions that would entitle the Government of India to march-in or co-ownership rights (or, where applicable, all such rights have been duly cleared / disclosed in Schedule 3).</w:t>
      </w:r>
    </w:p>
    <w:p>
      <w:pPr>
        <w:pStyle w:val="ListBullet"/>
        <w:spacing w:after="40"/>
        <w:ind w:left="567"/>
        <w:jc w:val="both"/>
      </w:pPr>
      <w:r>
        <w:t>Compliance: The Subject Technology and its development, manufacture, distribution and use comply with all applicable laws, regulations and industry standards.</w:t>
      </w:r>
    </w:p>
    <w:p>
      <w:pPr>
        <w:pStyle w:val="ListBullet"/>
        <w:spacing w:after="40"/>
        <w:ind w:left="567"/>
        <w:jc w:val="both"/>
      </w:pPr>
      <w:r>
        <w:t>No Litigation: No litigation, arbitration, claim or governmental investigation is pending or threatened in respect of the Subject Technology.</w:t>
      </w:r>
    </w:p>
    <w:p>
      <w:pPr>
        <w:pStyle w:val="ListBullet"/>
        <w:spacing w:after="40"/>
        <w:ind w:left="567"/>
        <w:jc w:val="both"/>
      </w:pPr>
      <w:r>
        <w:t>Solvency / Bankruptcy: The Assignor is solvent and is not subject to any insolvency / bankruptcy / winding-up proceedings.</w:t>
      </w:r>
    </w:p>
    <w:p>
      <w:pPr>
        <w:pStyle w:val="ListBullet"/>
        <w:spacing w:after="40"/>
        <w:ind w:left="567"/>
        <w:jc w:val="both"/>
      </w:pPr>
      <w:r>
        <w:t>Tax: All taxes, duties and statutory dues in respect of the Subject Technology have been duly paid.</w:t>
      </w:r>
    </w:p>
    <w:p>
      <w:pPr>
        <w:spacing w:before="240" w:after="80"/>
        <w:pBdr>
          <w:bottom w:val="single" w:sz="6" w:space="1" w:color="002060"/>
        </w:pBdr>
      </w:pPr>
      <w:r>
        <w:rPr>
          <w:b/>
          <w:color w:val="002060"/>
          <w:sz w:val="25"/>
        </w:rPr>
        <w:t>7.  POST-CLOSING COVENANTS</w:t>
      </w:r>
    </w:p>
    <w:p>
      <w:pPr>
        <w:spacing w:before="80"/>
        <w:jc w:val="both"/>
      </w:pPr>
      <w:r>
        <w:rPr>
          <w:b/>
        </w:rPr>
        <w:t xml:space="preserve">7.1 </w:t>
      </w:r>
      <w:r>
        <w:rPr>
          <w:b/>
        </w:rPr>
        <w:t xml:space="preserve">Further Assurances. </w:t>
      </w:r>
      <w:r>
        <w:t>The Assignor shall, at the Company’s cost (limited to out-of-pocket expenses), execute all such documents and take all such actions as the Company may reasonably request to perfect, protect, register, enforce and maintain the Subject Technology.</w:t>
      </w:r>
    </w:p>
    <w:p>
      <w:pPr>
        <w:spacing w:before="80"/>
        <w:jc w:val="both"/>
      </w:pPr>
      <w:r>
        <w:rPr>
          <w:b/>
        </w:rPr>
        <w:t xml:space="preserve">7.2 </w:t>
      </w:r>
      <w:r>
        <w:rPr>
          <w:b/>
        </w:rPr>
        <w:t xml:space="preserve">Non-Compete (where applicable / where lawful). </w:t>
      </w:r>
      <w:r>
        <w:t>For a period of {{NON_COMPETE_MONTHS}} months from Closing, the Assignor shall not, directly or indirectly, develop, sell, license, distribute or otherwise commercialise any technology that materially overlaps with the Subject Technology. (Subject to the limits of Section 27 of the Indian Contract Act, 1872 — restraint may not be enforceable in respect of an individual Assignor beyond the term of association; for corporate Assignors, sale-of-business covenants are enforceable under the exception to Section 27.)</w:t>
      </w:r>
    </w:p>
    <w:p>
      <w:pPr>
        <w:spacing w:before="80"/>
        <w:jc w:val="both"/>
      </w:pPr>
      <w:r>
        <w:rPr>
          <w:b/>
        </w:rPr>
        <w:t xml:space="preserve">7.3 </w:t>
      </w:r>
      <w:r>
        <w:rPr>
          <w:b/>
        </w:rPr>
        <w:t xml:space="preserve">Non-Solicitation. </w:t>
      </w:r>
      <w:r>
        <w:t>For a period of {{NON_SOLICIT_MONTHS}} months, the Assignor shall not solicit any employee, contractor or business partner of the Company who is engaged in the Business or the Subject Technology.</w:t>
      </w:r>
    </w:p>
    <w:p>
      <w:pPr>
        <w:spacing w:before="80"/>
        <w:jc w:val="both"/>
      </w:pPr>
      <w:r>
        <w:rPr>
          <w:b/>
        </w:rPr>
        <w:t xml:space="preserve">7.4 </w:t>
      </w:r>
      <w:r>
        <w:rPr>
          <w:b/>
        </w:rPr>
        <w:t xml:space="preserve">Confidentiality. </w:t>
      </w:r>
      <w:r>
        <w:t>The Assignor shall, perpetually, treat the Subject Technology as Confidential Information of the Company and shall not use, disclose or exploit any portion thereof except in accordance with the limited carve-outs in Schedule 3.</w:t>
      </w:r>
    </w:p>
    <w:p>
      <w:pPr>
        <w:spacing w:before="80"/>
        <w:jc w:val="both"/>
      </w:pPr>
      <w:r>
        <w:rPr>
          <w:b/>
        </w:rPr>
        <w:t xml:space="preserve">7.5 </w:t>
      </w:r>
      <w:r>
        <w:rPr>
          <w:b/>
        </w:rPr>
        <w:t xml:space="preserve">Power of Attorney. </w:t>
      </w:r>
      <w:r>
        <w:t>The Assignor hereby grants the Company an irrevocable power of attorney to execute all documents and take all steps necessary to (a) register the Subject Technology in the Company’s name; and (b) enforce the rights assigned hereunder.</w:t>
      </w:r>
    </w:p>
    <w:p>
      <w:pPr>
        <w:spacing w:before="240" w:after="80"/>
        <w:pBdr>
          <w:bottom w:val="single" w:sz="6" w:space="1" w:color="002060"/>
        </w:pBdr>
      </w:pPr>
      <w:r>
        <w:rPr>
          <w:b/>
          <w:color w:val="002060"/>
          <w:sz w:val="25"/>
        </w:rPr>
        <w:t>8.  INDEMNIFICATION</w:t>
      </w:r>
    </w:p>
    <w:p>
      <w:pPr>
        <w:spacing w:before="80"/>
        <w:jc w:val="both"/>
      </w:pPr>
      <w:r>
        <w:rPr>
          <w:b/>
        </w:rPr>
        <w:t xml:space="preserve">8.1 </w:t>
      </w:r>
      <w:r>
        <w:rPr>
          <w:b/>
        </w:rPr>
        <w:t xml:space="preserve">Indemnity by Assignor. </w:t>
      </w:r>
      <w:r>
        <w:t>The Assignor shall indemnify, defend and hold harmless the Company, its directors, officers, employees, customers and assignees, from and against all losses, damages, liabilities, costs and expenses (including reasonable attorneys’ fees) arising out of: (a) breach of any representation, warranty or covenant of the Assignor; (b) any claim that the Subject Technology infringes any IP, privacy, publicity or other right of any third party; (c) any claim by a contributor / employee / contractor of the Assignor in respect of the Subject Technology; (d) any non-compliance with data privacy or applicable laws prior to Closing.</w:t>
      </w:r>
    </w:p>
    <w:p>
      <w:pPr>
        <w:spacing w:before="80"/>
        <w:jc w:val="both"/>
      </w:pPr>
      <w:r>
        <w:rPr>
          <w:b/>
        </w:rPr>
        <w:t xml:space="preserve">8.2 </w:t>
      </w:r>
      <w:r>
        <w:rPr>
          <w:b/>
        </w:rPr>
        <w:t xml:space="preserve">IP Infringement Remedies. </w:t>
      </w:r>
      <w:r>
        <w:t>In addition to the indemnification, in the event of any IP infringement claim, the Assignor shall, at its sole option and cost: (a) procure for the Company the right to continue using the Subject Technology; (b) modify the Subject Technology to be non-infringing while retaining the same functionality; or (c) refund the Consideration to the Company (with simple interest at {{INTEREST_PERCENT}}% per annum).</w:t>
      </w:r>
    </w:p>
    <w:p>
      <w:pPr>
        <w:spacing w:before="80"/>
        <w:jc w:val="both"/>
      </w:pPr>
      <w:r>
        <w:rPr>
          <w:b/>
        </w:rPr>
        <w:t xml:space="preserve">8.3 </w:t>
      </w:r>
      <w:r>
        <w:rPr>
          <w:b/>
        </w:rPr>
        <w:t xml:space="preserve">Limitation of Liability. </w:t>
      </w:r>
      <w:r>
        <w:t>Save for (a) fraud or wilful misconduct; (b) breach of confidentiality; (c) breach of IP-related warranties / indemnity (Clauses 6 (Non-Infringement) and 8.2); and (d) breach of data privacy obligations, the aggregate liability of the Assignor shall be capped at {{LIABILITY_CAP_PERCENT}}% of the Consideration. The above carve-outs are not subject to any cap.</w:t>
      </w:r>
    </w:p>
    <w:p>
      <w:pPr>
        <w:spacing w:before="80"/>
        <w:jc w:val="both"/>
      </w:pPr>
      <w:r>
        <w:rPr>
          <w:b/>
        </w:rPr>
        <w:t xml:space="preserve">8.4 </w:t>
      </w:r>
      <w:r>
        <w:rPr>
          <w:b/>
        </w:rPr>
        <w:t xml:space="preserve">Procedure. </w:t>
      </w:r>
      <w:r>
        <w:t>The Company shall promptly notify the Assignor of any indemnifiable claim, provide reasonable cooperation, and not settle without consent. The Assignor may, at its cost, defend the claim with counsel acceptable to the Company.</w:t>
      </w:r>
    </w:p>
    <w:p>
      <w:pPr>
        <w:spacing w:before="240" w:after="80"/>
        <w:pBdr>
          <w:bottom w:val="single" w:sz="6" w:space="1" w:color="002060"/>
        </w:pBdr>
      </w:pPr>
      <w:r>
        <w:rPr>
          <w:b/>
          <w:color w:val="002060"/>
          <w:sz w:val="25"/>
        </w:rPr>
        <w:t>9.  SOURCE CODE ESCROW (OPTIONAL)</w:t>
      </w:r>
    </w:p>
    <w:p>
      <w:pPr>
        <w:spacing w:before="80"/>
        <w:jc w:val="both"/>
      </w:pPr>
      <w:r>
        <w:rPr>
          <w:b/>
        </w:rPr>
        <w:t xml:space="preserve">9.1 </w:t>
      </w:r>
      <w:r>
        <w:rPr>
          <w:b/>
        </w:rPr>
        <w:t xml:space="preserve">Escrow. </w:t>
      </w:r>
      <w:r>
        <w:t>Where mutually agreed, the Source Code, Datasets and Models shall be deposited with an independent third-party escrow agent ({{ESCROW_AGENT_NAME}}) under a tripartite escrow agreement, with release triggers including (a) Assignor’s insolvency; (b) material breach of warranty; (c) discontinuation of support.</w:t>
      </w:r>
    </w:p>
    <w:p>
      <w:pPr>
        <w:spacing w:before="240" w:after="80"/>
        <w:pBdr>
          <w:bottom w:val="single" w:sz="6" w:space="1" w:color="002060"/>
        </w:pBdr>
      </w:pPr>
      <w:r>
        <w:rPr>
          <w:b/>
          <w:color w:val="002060"/>
          <w:sz w:val="25"/>
        </w:rPr>
        <w:t>10.  TERMINATION</w:t>
      </w:r>
    </w:p>
    <w:p>
      <w:pPr>
        <w:spacing w:before="80"/>
        <w:jc w:val="both"/>
      </w:pPr>
      <w:r>
        <w:rPr>
          <w:b/>
        </w:rPr>
        <w:t xml:space="preserve">10.1 </w:t>
      </w:r>
      <w:r>
        <w:rPr>
          <w:b/>
        </w:rPr>
        <w:t xml:space="preserve">Termination by Company. </w:t>
      </w:r>
      <w:r>
        <w:t>The Company may terminate this Agreement (a) for material breach by the Assignor uncured within {{CURE_PERIOD_DAYS}} days; (b) upon insolvency / bankruptcy of the Assignor; (c) upon a third-party IP claim that the Assignor fails to resolve; or (d) at any time prior to Closing if material due diligence findings adverse to the Company arise.</w:t>
      </w:r>
    </w:p>
    <w:p>
      <w:pPr>
        <w:spacing w:before="80"/>
        <w:jc w:val="both"/>
      </w:pPr>
      <w:r>
        <w:rPr>
          <w:b/>
        </w:rPr>
        <w:t xml:space="preserve">10.2 </w:t>
      </w:r>
      <w:r>
        <w:rPr>
          <w:b/>
        </w:rPr>
        <w:t xml:space="preserve">Effect. </w:t>
      </w:r>
      <w:r>
        <w:t>Termination shall not affect (a) accrued rights; (b) the irrevocable assignment / licence already vested in the Company under Clause 2 (which shall survive); or (c) provisions intended to survive (Clauses 1, 6, 7, 8, 11, 12, 13).</w:t>
      </w:r>
    </w:p>
    <w:p>
      <w:pPr>
        <w:spacing w:before="240" w:after="80"/>
        <w:pBdr>
          <w:bottom w:val="single" w:sz="6" w:space="1" w:color="002060"/>
        </w:pBdr>
      </w:pPr>
      <w:r>
        <w:rPr>
          <w:b/>
          <w:color w:val="002060"/>
          <w:sz w:val="25"/>
        </w:rPr>
        <w:t>11.  CONFIDENTIALITY</w:t>
      </w:r>
    </w:p>
    <w:p>
      <w:pPr>
        <w:spacing w:before="80"/>
        <w:jc w:val="both"/>
      </w:pPr>
      <w:r>
        <w:rPr>
          <w:b/>
        </w:rPr>
        <w:t xml:space="preserve">11.1 </w:t>
      </w:r>
      <w:r>
        <w:rPr>
          <w:b/>
        </w:rPr>
        <w:t xml:space="preserve">Mutual Obligation. </w:t>
      </w:r>
      <w:r>
        <w:t>Each Party shall (a) hold the other Party’s Confidential Information in strict confidence; (b) not disclose to any third party except advisors under confidentiality or as required by Applicable Law; and (c) use the Confidential Information solely for the purposes of this Agreement.</w:t>
      </w:r>
    </w:p>
    <w:p>
      <w:pPr>
        <w:spacing w:before="240" w:after="80"/>
        <w:pBdr>
          <w:bottom w:val="single" w:sz="6" w:space="1" w:color="002060"/>
        </w:pBdr>
      </w:pPr>
      <w:r>
        <w:rPr>
          <w:b/>
          <w:color w:val="002060"/>
          <w:sz w:val="25"/>
        </w:rPr>
        <w:t>12.  GOVERNING LAW AND DISPUTE RESOLUTION</w:t>
      </w:r>
    </w:p>
    <w:p>
      <w:pPr>
        <w:spacing w:before="80"/>
        <w:jc w:val="both"/>
      </w:pPr>
      <w:r>
        <w:rPr>
          <w:b/>
        </w:rPr>
        <w:t xml:space="preserve">12.1 </w:t>
      </w:r>
      <w:r>
        <w:rPr>
          <w:b/>
        </w:rPr>
        <w:t xml:space="preserve">Governing Law. </w:t>
      </w:r>
      <w:r>
        <w:t>Laws of the Republic of India.</w:t>
      </w:r>
    </w:p>
    <w:p>
      <w:pPr>
        <w:spacing w:before="80"/>
        <w:jc w:val="both"/>
      </w:pPr>
      <w:r>
        <w:rPr>
          <w:b/>
        </w:rPr>
        <w:t xml:space="preserve">12.2 </w:t>
      </w:r>
      <w:r>
        <w:rPr>
          <w:b/>
        </w:rPr>
        <w:t xml:space="preserve">Arbitration. </w:t>
      </w:r>
      <w:r>
        <w:t>Any Dispute not resolved within {{NEGOTIATION_DAYS}} days of amicable negotiation shall be referred to arbitration under the Arbitration and Conciliation Act, 1996, by {{ARBITRATOR_NUMBER}} arbitrator(s) under the {{ARBITRATION_INSTITUTION_RULES}}. Seat: {{ARBITRATION_SEAT_CITY}}, India. Language: English.</w:t>
      </w:r>
    </w:p>
    <w:p>
      <w:pPr>
        <w:spacing w:before="80"/>
        <w:jc w:val="both"/>
      </w:pPr>
      <w:r>
        <w:rPr>
          <w:b/>
        </w:rPr>
        <w:t xml:space="preserve">12.3 </w:t>
      </w:r>
      <w:r>
        <w:rPr>
          <w:b/>
        </w:rPr>
        <w:t xml:space="preserve">Jurisdiction. </w:t>
      </w:r>
      <w:r>
        <w:t>Subject to Clause 12.2, courts at {{JURISDICTION_CITY}} shall have exclusive jurisdiction.</w:t>
      </w:r>
    </w:p>
    <w:p>
      <w:pPr>
        <w:spacing w:before="80"/>
        <w:jc w:val="both"/>
      </w:pPr>
      <w:r>
        <w:rPr>
          <w:b/>
        </w:rPr>
        <w:t xml:space="preserve">12.4 </w:t>
      </w:r>
      <w:r>
        <w:rPr>
          <w:b/>
        </w:rPr>
        <w:t xml:space="preserve">Equitable Relief. </w:t>
      </w:r>
      <w:r>
        <w:t>The Parties acknowledge that breach of Clauses 2 (Assignment), 6 (Warranties), 7 (Post-Closing Covenants) or 11 (Confidentiality) would cause irreparable harm and the non-breaching Party shall be entitled to injunctive relief and specific performance under the Specific Relief Act, 1963.</w:t>
      </w:r>
    </w:p>
    <w:p>
      <w:pPr>
        <w:spacing w:before="240" w:after="80"/>
        <w:pBdr>
          <w:bottom w:val="single" w:sz="6" w:space="1" w:color="002060"/>
        </w:pBdr>
      </w:pPr>
      <w:r>
        <w:rPr>
          <w:b/>
          <w:color w:val="002060"/>
          <w:sz w:val="25"/>
        </w:rPr>
        <w:t>13.  MISCELLANEOUS</w:t>
      </w:r>
    </w:p>
    <w:p>
      <w:pPr>
        <w:spacing w:before="80"/>
        <w:jc w:val="both"/>
      </w:pPr>
      <w:r>
        <w:rPr>
          <w:b/>
        </w:rPr>
        <w:t xml:space="preserve">13.1 </w:t>
      </w:r>
      <w:r>
        <w:rPr>
          <w:b/>
        </w:rPr>
        <w:t xml:space="preserve">Entire Agreement. </w:t>
      </w:r>
      <w:r>
        <w:t>This Agreement, together with all Schedules and Assignment Documents, constitutes the entire agreement between the Parties on the subject matter.</w:t>
      </w:r>
    </w:p>
    <w:p>
      <w:pPr>
        <w:spacing w:before="80"/>
        <w:jc w:val="both"/>
      </w:pPr>
      <w:r>
        <w:rPr>
          <w:b/>
        </w:rPr>
        <w:t xml:space="preserve">13.2 </w:t>
      </w:r>
      <w:r>
        <w:rPr>
          <w:b/>
        </w:rPr>
        <w:t xml:space="preserve">Amendment. </w:t>
      </w:r>
      <w:r>
        <w:t>Amendments to be in writing signed by both Parties.</w:t>
      </w:r>
    </w:p>
    <w:p>
      <w:pPr>
        <w:spacing w:before="80"/>
        <w:jc w:val="both"/>
      </w:pPr>
      <w:r>
        <w:rPr>
          <w:b/>
        </w:rPr>
        <w:t xml:space="preserve">13.3 </w:t>
      </w:r>
      <w:r>
        <w:rPr>
          <w:b/>
        </w:rPr>
        <w:t xml:space="preserve">Notices. </w:t>
      </w:r>
      <w:r>
        <w:t>All notices in writing to the addresses in the Parties clause, with copy to email.</w:t>
      </w:r>
    </w:p>
    <w:p>
      <w:pPr>
        <w:spacing w:before="80"/>
        <w:jc w:val="both"/>
      </w:pPr>
      <w:r>
        <w:rPr>
          <w:b/>
        </w:rPr>
        <w:t xml:space="preserve">13.4 </w:t>
      </w:r>
      <w:r>
        <w:rPr>
          <w:b/>
        </w:rPr>
        <w:t xml:space="preserve">Counterparts &amp; E-sign. </w:t>
      </w:r>
      <w:r>
        <w:t>May be executed in counterparts (including electronically under the IT Act, 2000).</w:t>
      </w:r>
    </w:p>
    <w:p>
      <w:pPr>
        <w:spacing w:before="80"/>
        <w:jc w:val="both"/>
      </w:pPr>
      <w:r>
        <w:rPr>
          <w:b/>
        </w:rPr>
        <w:t xml:space="preserve">13.5 </w:t>
      </w:r>
      <w:r>
        <w:rPr>
          <w:b/>
        </w:rPr>
        <w:t xml:space="preserve">Stamp Duty &amp; Registration. </w:t>
      </w:r>
      <w:r>
        <w:t>This Agreement shall be stamped under Article 23 (Conveyance) or Article 5 (Agreement) of the Indian Stamp Act, 1899 or the applicable State Stamp Act of {{STAMP_DUTY_STATE}}. Registration with the IP Office (Form 16 / TM-P / Form 10 / Copyright voluntary) shall be undertaken by the Company at its cost.</w:t>
      </w:r>
    </w:p>
    <w:p>
      <w:pPr>
        <w:spacing w:before="80"/>
        <w:jc w:val="both"/>
      </w:pPr>
      <w:r>
        <w:rPr>
          <w:b/>
        </w:rPr>
        <w:t xml:space="preserve">13.6 </w:t>
      </w:r>
      <w:r>
        <w:rPr>
          <w:b/>
        </w:rPr>
        <w:t xml:space="preserve">Costs. </w:t>
      </w:r>
      <w:r>
        <w:t>Each Party shall bear its own legal costs in connection with this Agreement, save that registration costs shall be borne by the Company.</w:t>
      </w:r>
    </w:p>
    <w:p>
      <w:pPr>
        <w:spacing w:before="80"/>
        <w:jc w:val="both"/>
      </w:pPr>
      <w:r>
        <w:rPr>
          <w:b/>
        </w:rPr>
        <w:t xml:space="preserve">13.7 </w:t>
      </w:r>
      <w:r>
        <w:rPr>
          <w:b/>
        </w:rPr>
        <w:t xml:space="preserve">Severability / Waiver. </w:t>
      </w:r>
      <w:r>
        <w:t>Severability and no implied waiver.</w:t>
      </w:r>
    </w:p>
    <w:p>
      <w:pPr>
        <w:spacing w:before="80"/>
        <w:jc w:val="both"/>
      </w:pPr>
      <w:r>
        <w:rPr>
          <w:b/>
        </w:rPr>
        <w:t xml:space="preserve">13.8 </w:t>
      </w:r>
      <w:r>
        <w:rPr>
          <w:b/>
        </w:rPr>
        <w:t xml:space="preserve">Assignment. </w:t>
      </w:r>
      <w:r>
        <w:t>The Company may freely assign its rights to its Affiliates or to a successor in interest. The Assignor shall not assign without the Company’s consent.</w:t>
      </w:r>
    </w:p>
    <w:p>
      <w:pPr>
        <w:spacing w:before="80"/>
        <w:jc w:val="both"/>
      </w:pPr>
      <w:r>
        <w:rPr>
          <w:b/>
        </w:rPr>
        <w:t xml:space="preserve">13.9 </w:t>
      </w:r>
      <w:r>
        <w:rPr>
          <w:b/>
        </w:rPr>
        <w:t xml:space="preserve">FEMA / Cross-Border. </w:t>
      </w:r>
      <w:r>
        <w:t>Where this Agreement involves a cross-border transfer of IP, the Parties shall comply with the FEMA Master Directions, including reporting through the AD Bank, valuation by a Chartered Accountant / Merchant Banker, and any approvals from the Reserve Bank of India (RBI) where applicable. The Assignor’s tax residency certificate (TRC) shall be furnished to enable benefit under any Double Tax Avoidance Agreement (DTAA).</w:t>
      </w:r>
    </w:p>
    <w:p>
      <w:r>
        <w:br w:type="page"/>
      </w:r>
    </w:p>
    <w:p>
      <w:pPr>
        <w:spacing w:before="240" w:after="80"/>
        <w:pBdr>
          <w:bottom w:val="single" w:sz="6" w:space="1" w:color="002060"/>
        </w:pBdr>
      </w:pPr>
      <w:r>
        <w:rPr>
          <w:b/>
          <w:color w:val="002060"/>
          <w:sz w:val="25"/>
        </w:rPr>
        <w:t>IN WITNESS WHEREOF</w:t>
      </w:r>
    </w:p>
    <w:p>
      <w:pPr>
        <w:jc w:val="both"/>
      </w:pPr>
      <w:r>
        <w:rPr>
          <w:b/>
          <w:i w:val="0"/>
        </w:rPr>
        <w:t>IN WITNESS WHEREOF, the Parties have executed this Technology Assignment Agreement on the day, month and year first hereinabove written.</w:t>
      </w:r>
    </w:p>
    <w:p/>
    <w:p>
      <w:pPr>
        <w:spacing w:before="360"/>
      </w:pPr>
      <w:r>
        <w:rPr>
          <w:b/>
          <w:sz w:val="22"/>
        </w:rPr>
        <w:t>For and on behalf of THE ASSIGNOR ({{ASSIGNOR_NAME}})</w:t>
      </w:r>
    </w:p>
    <w:p/>
    <w:p>
      <w:r>
        <w:t>_________________________________</w:t>
      </w:r>
    </w:p>
    <w:p>
      <w:r>
        <w:rPr>
          <w:b/>
        </w:rPr>
        <w:t>Name: {{ASSIGNOR_SIGNATORY_NAME}}</w:t>
      </w:r>
    </w:p>
    <w:p>
      <w:r>
        <w:t>Designation: {{ASSIGNOR_SIGNATORY_DESIGNATION}}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THE ASSIGNEE ({{COMPANY_NAME}})</w:t>
      </w:r>
    </w:p>
    <w:p/>
    <w:p>
      <w:r>
        <w:t>_________________________________</w:t>
      </w:r>
    </w:p>
    <w:p>
      <w:r>
        <w:rPr>
          <w:b/>
        </w:rPr>
        <w:t>Name: {{AUTHORISED_SIGNATORY_NAME}}</w:t>
      </w:r>
    </w:p>
    <w:p>
      <w:r>
        <w:t>Designation: {{AUTHORISED_SIGNATORY_DESIGNATION}}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200" w:after="160"/>
        <w:jc w:val="center"/>
      </w:pPr>
      <w:r>
        <w:rPr>
          <w:b/>
          <w:color w:val="002060"/>
          <w:sz w:val="30"/>
        </w:rPr>
        <w:t>SCHEDULES</w:t>
      </w:r>
    </w:p>
    <w:p>
      <w:pPr>
        <w:spacing w:before="240" w:after="80"/>
        <w:pBdr>
          <w:bottom w:val="single" w:sz="6" w:space="1" w:color="002060"/>
        </w:pBdr>
      </w:pPr>
      <w:r>
        <w:rPr>
          <w:b/>
          <w:color w:val="002060"/>
          <w:sz w:val="25"/>
        </w:rPr>
        <w:t>SCHEDULE 1 — DESCRIPTION OF THE SUBJECT TECHNOLOGY</w:t>
      </w:r>
    </w:p>
    <w:p>
      <w:pPr>
        <w:spacing w:before="160" w:after="60"/>
      </w:pPr>
      <w:r>
        <w:rPr>
          <w:b/>
          <w:color w:val="002060"/>
          <w:sz w:val="23"/>
        </w:rPr>
        <w:t>Part A — Overview</w:t>
      </w:r>
    </w:p>
    <w:p>
      <w:pPr>
        <w:jc w:val="both"/>
      </w:pPr>
      <w:r>
        <w:rPr>
          <w:b w:val="0"/>
          <w:i w:val="0"/>
        </w:rPr>
        <w:t>{{SUBJECT_TECH_OVERVIEW}}</w:t>
      </w:r>
    </w:p>
    <w:p>
      <w:pPr>
        <w:spacing w:before="160" w:after="60"/>
      </w:pPr>
      <w:r>
        <w:rPr>
          <w:b/>
          <w:color w:val="002060"/>
          <w:sz w:val="23"/>
        </w:rPr>
        <w:t>Part B — Components &amp; Inventory</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850"/>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Sl. No.</w:t>
            </w:r>
          </w:p>
        </w:tc>
        <w:tc>
          <w:tcPr>
            <w:tcW w:type="dxa" w:w="204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Component</w:t>
            </w:r>
          </w:p>
        </w:tc>
        <w:tc>
          <w:tcPr>
            <w:tcW w:type="dxa" w:w="204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Type</w:t>
            </w:r>
          </w:p>
        </w:tc>
        <w:tc>
          <w:tcPr>
            <w:tcW w:type="dxa" w:w="204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Owner / Author</w:t>
            </w:r>
          </w:p>
        </w:tc>
        <w:tc>
          <w:tcPr>
            <w:tcW w:type="dxa" w:w="187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Status / Version</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{{COMP_1_NAME}}</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{{COMP_1_TYPE}} (Source Code / Patent / Model / Dataset / Mark)</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{{COMP_1_OWNER}}</w:t>
            </w:r>
          </w:p>
        </w:tc>
        <w:tc>
          <w:tcPr>
            <w:tcW w:type="dxa" w:w="1871"/>
            <w:tcBorders>
              <w:top w:val="single" w:sz="4" w:color="808080"/>
              <w:left w:val="single" w:sz="4" w:color="808080"/>
              <w:bottom w:val="single" w:sz="4" w:color="808080"/>
              <w:right w:val="single" w:sz="4" w:color="808080"/>
            </w:tcBorders>
            <w:vAlign w:val="center"/>
          </w:tcPr>
          <w:p>
            <w:pPr>
              <w:jc w:val="left"/>
            </w:pPr>
            <w:r/>
            <w:r>
              <w:rPr>
                <w:sz w:val="21"/>
              </w:rPr>
              <w:t>{{COMP_1_VERSION}}</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{{COMP_2_NAME}}</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{{COMP_2_TYPE}}</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{{COMP_2_OWNER}}</w:t>
            </w:r>
          </w:p>
        </w:tc>
        <w:tc>
          <w:tcPr>
            <w:tcW w:type="dxa" w:w="187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{{COMP_2_VERSION}}</w:t>
            </w:r>
          </w:p>
        </w:tc>
      </w:tr>
      <w:tr>
        <w:tc>
          <w:tcPr>
            <w:tcW w:type="dxa" w:w="850"/>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{{COMP_3_NAME}}</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{{COMP_3_TYPE}}</w:t>
            </w:r>
          </w:p>
        </w:tc>
        <w:tc>
          <w:tcPr>
            <w:tcW w:type="dxa" w:w="2041"/>
            <w:tcBorders>
              <w:top w:val="single" w:sz="4" w:color="808080"/>
              <w:left w:val="single" w:sz="4" w:color="808080"/>
              <w:bottom w:val="single" w:sz="4" w:color="808080"/>
              <w:right w:val="single" w:sz="4" w:color="808080"/>
            </w:tcBorders>
            <w:vAlign w:val="center"/>
          </w:tcPr>
          <w:p>
            <w:pPr>
              <w:jc w:val="left"/>
            </w:pPr>
            <w:r/>
            <w:r>
              <w:rPr>
                <w:sz w:val="21"/>
              </w:rPr>
              <w:t>{{COMP_3_OWNER}}</w:t>
            </w:r>
          </w:p>
        </w:tc>
        <w:tc>
          <w:tcPr>
            <w:tcW w:type="dxa" w:w="1871"/>
            <w:tcBorders>
              <w:top w:val="single" w:sz="4" w:color="808080"/>
              <w:left w:val="single" w:sz="4" w:color="808080"/>
              <w:bottom w:val="single" w:sz="4" w:color="808080"/>
              <w:right w:val="single" w:sz="4" w:color="808080"/>
            </w:tcBorders>
            <w:vAlign w:val="center"/>
          </w:tcPr>
          <w:p>
            <w:pPr>
              <w:jc w:val="left"/>
            </w:pPr>
            <w:r/>
            <w:r>
              <w:rPr>
                <w:sz w:val="21"/>
              </w:rPr>
              <w:t>{{COMP_3_VERSION}}</w:t>
            </w:r>
          </w:p>
        </w:tc>
      </w:tr>
      <w:tr>
        <w:tc>
          <w:tcPr>
            <w:tcW w:type="dxa" w:w="850"/>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[Add as required]</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204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87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bl>
    <w:p/>
    <w:p>
      <w:r>
        <w:br w:type="page"/>
      </w:r>
    </w:p>
    <w:p>
      <w:pPr>
        <w:spacing w:before="240" w:after="80"/>
        <w:pBdr>
          <w:bottom w:val="single" w:sz="6" w:space="1" w:color="002060"/>
        </w:pBdr>
      </w:pPr>
      <w:r>
        <w:rPr>
          <w:b/>
          <w:color w:val="002060"/>
          <w:sz w:val="25"/>
        </w:rPr>
        <w:t>SCHEDULE 2 — ASSIGNMENT DOCUMENTS</w:t>
      </w:r>
    </w:p>
    <w:p>
      <w:pPr>
        <w:pStyle w:val="ListBullet"/>
        <w:spacing w:after="40"/>
        <w:ind w:left="567"/>
        <w:jc w:val="both"/>
      </w:pPr>
      <w:r>
        <w:t>Deed of Assignment of Patents (Form 16 to the Indian Patent Office under Section 68 of the Patents Act, 1970).</w:t>
      </w:r>
    </w:p>
    <w:p>
      <w:pPr>
        <w:pStyle w:val="ListBullet"/>
        <w:spacing w:after="40"/>
        <w:ind w:left="567"/>
        <w:jc w:val="both"/>
      </w:pPr>
      <w:r>
        <w:t>Trade Mark Assignment Deed and Form TM-P (under Section 38–45 of the Trade Marks Act, 1999).</w:t>
      </w:r>
    </w:p>
    <w:p>
      <w:pPr>
        <w:pStyle w:val="ListBullet"/>
        <w:spacing w:after="40"/>
        <w:ind w:left="567"/>
        <w:jc w:val="both"/>
      </w:pPr>
      <w:r>
        <w:t>Designs Assignment Deed and Form 10 (under Section 30 of the Designs Act, 2000).</w:t>
      </w:r>
    </w:p>
    <w:p>
      <w:pPr>
        <w:pStyle w:val="ListBullet"/>
        <w:spacing w:after="40"/>
        <w:ind w:left="567"/>
        <w:jc w:val="both"/>
      </w:pPr>
      <w:r>
        <w:t>Copyright Assignment Deed (Section 19 of the Copyright Act, 1957) and voluntary registration via Form XIV (where elected).</w:t>
      </w:r>
    </w:p>
    <w:p>
      <w:pPr>
        <w:pStyle w:val="ListBullet"/>
        <w:spacing w:after="40"/>
        <w:ind w:left="567"/>
        <w:jc w:val="both"/>
      </w:pPr>
      <w:r>
        <w:t>Domain Name transfer authorisations.</w:t>
      </w:r>
    </w:p>
    <w:p>
      <w:pPr>
        <w:pStyle w:val="ListBullet"/>
        <w:spacing w:after="40"/>
        <w:ind w:left="567"/>
        <w:jc w:val="both"/>
      </w:pPr>
      <w:r>
        <w:t>Source Code Bill of Materials and Software-of-Origin Statement.</w:t>
      </w:r>
    </w:p>
    <w:p>
      <w:pPr>
        <w:pStyle w:val="ListBullet"/>
        <w:spacing w:after="40"/>
        <w:ind w:left="567"/>
        <w:jc w:val="both"/>
      </w:pPr>
      <w:r>
        <w:t>Dataset Provenance Statement and consent / licence inventory.</w:t>
      </w:r>
    </w:p>
    <w:p>
      <w:pPr>
        <w:pStyle w:val="ListBullet"/>
        <w:spacing w:after="40"/>
        <w:ind w:left="567"/>
        <w:jc w:val="both"/>
      </w:pPr>
      <w:r>
        <w:t>Acceptance Certificate (post-UAT).</w:t>
      </w:r>
    </w:p>
    <w:p>
      <w:pPr>
        <w:pStyle w:val="ListBullet"/>
        <w:spacing w:after="40"/>
        <w:ind w:left="567"/>
        <w:jc w:val="both"/>
      </w:pPr>
      <w:r>
        <w:t>Knowledge Transfer Completion Certificate.</w:t>
      </w:r>
    </w:p>
    <w:p>
      <w:r>
        <w:br w:type="page"/>
      </w:r>
    </w:p>
    <w:p>
      <w:pPr>
        <w:spacing w:before="240" w:after="80"/>
        <w:pBdr>
          <w:bottom w:val="single" w:sz="6" w:space="1" w:color="002060"/>
        </w:pBdr>
      </w:pPr>
      <w:r>
        <w:rPr>
          <w:b/>
          <w:color w:val="002060"/>
          <w:sz w:val="25"/>
        </w:rPr>
        <w:t>SCHEDULE 3 — RETAINED RIGHTS / CARVE-OUTS / THIRD-PARTY CLAIMS DISCLOSURE</w:t>
      </w:r>
    </w:p>
    <w:p>
      <w:pPr>
        <w:jc w:val="both"/>
      </w:pPr>
      <w:r>
        <w:rPr>
          <w:b w:val="0"/>
          <w:i w:val="0"/>
        </w:rPr>
        <w:t>{{RETAINED_RIGHTS_AND_DISCLOSURES}}</w:t>
      </w:r>
    </w:p>
    <w:p>
      <w:r>
        <w:br w:type="page"/>
      </w:r>
    </w:p>
    <w:p>
      <w:pPr>
        <w:spacing w:before="240" w:after="80"/>
        <w:pBdr>
          <w:bottom w:val="single" w:sz="6" w:space="1" w:color="002060"/>
        </w:pBdr>
      </w:pPr>
      <w:r>
        <w:rPr>
          <w:b/>
          <w:color w:val="002060"/>
          <w:sz w:val="25"/>
        </w:rPr>
        <w:t>SCHEDULE 4 — OPEN SOURCE COMPONENTS</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158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OSS Component</w:t>
            </w:r>
          </w:p>
        </w:tc>
        <w:tc>
          <w:tcPr>
            <w:tcW w:type="dxa" w:w="1020"/>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Version</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Licence</w:t>
            </w:r>
          </w:p>
        </w:tc>
        <w:tc>
          <w:tcPr>
            <w:tcW w:type="dxa" w:w="136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Modification?</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Linkage</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Compliance Notes</w:t>
            </w:r>
          </w:p>
        </w:tc>
      </w:tr>
      <w:tr>
        <w:tc>
          <w:tcPr>
            <w:tcW w:type="dxa" w:w="1587"/>
            <w:tcBorders>
              <w:top w:val="single" w:sz="4" w:color="808080"/>
              <w:left w:val="single" w:sz="4" w:color="808080"/>
              <w:bottom w:val="single" w:sz="4" w:color="808080"/>
              <w:right w:val="single" w:sz="4" w:color="808080"/>
            </w:tcBorders>
            <w:vAlign w:val="center"/>
          </w:tcPr>
          <w:p>
            <w:pPr>
              <w:jc w:val="left"/>
            </w:pPr>
            <w:r/>
            <w:r>
              <w:rPr>
                <w:b/>
                <w:sz w:val="21"/>
              </w:rPr>
              <w:t>{{OSS_1_NAME}}</w:t>
            </w:r>
          </w:p>
        </w:tc>
        <w:tc>
          <w:tcPr>
            <w:tcW w:type="dxa" w:w="1020"/>
            <w:tcBorders>
              <w:top w:val="single" w:sz="4" w:color="808080"/>
              <w:left w:val="single" w:sz="4" w:color="808080"/>
              <w:bottom w:val="single" w:sz="4" w:color="808080"/>
              <w:right w:val="single" w:sz="4" w:color="808080"/>
            </w:tcBorders>
            <w:vAlign w:val="center"/>
          </w:tcPr>
          <w:p>
            <w:pPr>
              <w:jc w:val="left"/>
            </w:pPr>
            <w:r/>
            <w:r>
              <w:rPr>
                <w:sz w:val="21"/>
              </w:rPr>
              <w:t>{{OSS_1_VERSION}}</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{{OSS_1_LICENCE}}</w:t>
            </w:r>
          </w:p>
        </w:tc>
        <w:tc>
          <w:tcPr>
            <w:tcW w:type="dxa" w:w="1361"/>
            <w:tcBorders>
              <w:top w:val="single" w:sz="4" w:color="808080"/>
              <w:left w:val="single" w:sz="4" w:color="808080"/>
              <w:bottom w:val="single" w:sz="4" w:color="808080"/>
              <w:right w:val="single" w:sz="4" w:color="808080"/>
            </w:tcBorders>
            <w:vAlign w:val="center"/>
          </w:tcPr>
          <w:p>
            <w:pPr>
              <w:jc w:val="left"/>
            </w:pPr>
            <w:r/>
            <w:r>
              <w:rPr>
                <w:sz w:val="21"/>
              </w:rPr>
              <w:t>{{OSS_1_MODIFIED}}</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{{OSS_1_LINKAGE}}</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{{OSS_1_COMPLIANCE}}</w:t>
            </w:r>
          </w:p>
        </w:tc>
      </w:tr>
      <w:tr>
        <w:tc>
          <w:tcPr>
            <w:tcW w:type="dxa" w:w="158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{{OSS_2_NAME}}</w:t>
            </w:r>
          </w:p>
        </w:tc>
        <w:tc>
          <w:tcPr>
            <w:tcW w:type="dxa" w:w="1020"/>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{{OSS_2_VERSION}}</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{{OSS_2_LICENCE}}</w:t>
            </w:r>
          </w:p>
        </w:tc>
        <w:tc>
          <w:tcPr>
            <w:tcW w:type="dxa" w:w="136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{{OSS_2_MODIFIED}}</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{{OSS_2_LINKAGE}}</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{{OSS_2_COMPLIANCE}}</w:t>
            </w:r>
          </w:p>
        </w:tc>
      </w:tr>
      <w:tr>
        <w:tc>
          <w:tcPr>
            <w:tcW w:type="dxa" w:w="1587"/>
            <w:tcBorders>
              <w:top w:val="single" w:sz="4" w:color="808080"/>
              <w:left w:val="single" w:sz="4" w:color="808080"/>
              <w:bottom w:val="single" w:sz="4" w:color="808080"/>
              <w:right w:val="single" w:sz="4" w:color="808080"/>
            </w:tcBorders>
            <w:vAlign w:val="center"/>
          </w:tcPr>
          <w:p>
            <w:pPr>
              <w:jc w:val="left"/>
            </w:pPr>
            <w:r/>
            <w:r>
              <w:rPr>
                <w:b/>
                <w:sz w:val="21"/>
              </w:rPr>
              <w:t>{{OSS_3_NAME}}</w:t>
            </w:r>
          </w:p>
        </w:tc>
        <w:tc>
          <w:tcPr>
            <w:tcW w:type="dxa" w:w="1020"/>
            <w:tcBorders>
              <w:top w:val="single" w:sz="4" w:color="808080"/>
              <w:left w:val="single" w:sz="4" w:color="808080"/>
              <w:bottom w:val="single" w:sz="4" w:color="808080"/>
              <w:right w:val="single" w:sz="4" w:color="808080"/>
            </w:tcBorders>
            <w:vAlign w:val="center"/>
          </w:tcPr>
          <w:p>
            <w:pPr>
              <w:jc w:val="left"/>
            </w:pPr>
            <w:r/>
            <w:r>
              <w:rPr>
                <w:sz w:val="21"/>
              </w:rPr>
              <w:t>{{OSS_3_VERSION}}</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{{OSS_3_LICENCE}}</w:t>
            </w:r>
          </w:p>
        </w:tc>
        <w:tc>
          <w:tcPr>
            <w:tcW w:type="dxa" w:w="1361"/>
            <w:tcBorders>
              <w:top w:val="single" w:sz="4" w:color="808080"/>
              <w:left w:val="single" w:sz="4" w:color="808080"/>
              <w:bottom w:val="single" w:sz="4" w:color="808080"/>
              <w:right w:val="single" w:sz="4" w:color="808080"/>
            </w:tcBorders>
            <w:vAlign w:val="center"/>
          </w:tcPr>
          <w:p>
            <w:pPr>
              <w:jc w:val="left"/>
            </w:pPr>
            <w:r/>
            <w:r>
              <w:rPr>
                <w:sz w:val="21"/>
              </w:rPr>
              <w:t>{{OSS_3_MODIFIED}}</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{{OSS_3_LINKAGE}}</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{{OSS_3_COMPLIANCE}}</w:t>
            </w:r>
          </w:p>
        </w:tc>
      </w:tr>
      <w:tr>
        <w:tc>
          <w:tcPr>
            <w:tcW w:type="dxa" w:w="158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[Add as required]</w:t>
            </w:r>
          </w:p>
        </w:tc>
        <w:tc>
          <w:tcPr>
            <w:tcW w:type="dxa" w:w="1020"/>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36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bl>
    <w:p/>
    <w:p>
      <w:r>
        <w:br w:type="page"/>
      </w:r>
    </w:p>
    <w:p>
      <w:pPr>
        <w:spacing w:before="240" w:after="80"/>
        <w:pBdr>
          <w:bottom w:val="single" w:sz="6" w:space="1" w:color="002060"/>
        </w:pBdr>
      </w:pPr>
      <w:r>
        <w:rPr>
          <w:b/>
          <w:color w:val="002060"/>
          <w:sz w:val="25"/>
        </w:rPr>
        <w:t>SCHEDULE 5 — ACCEPTANCE CRITERIA</w:t>
      </w:r>
    </w:p>
    <w:p>
      <w:pPr>
        <w:pStyle w:val="ListBullet"/>
        <w:spacing w:after="40"/>
        <w:ind w:left="567"/>
        <w:jc w:val="both"/>
      </w:pPr>
      <w:r>
        <w:t>Build &amp; Deploy: Source Code builds cleanly on a target environment (specify OS, runtime, build chain) without errors or warnings.</w:t>
      </w:r>
    </w:p>
    <w:p>
      <w:pPr>
        <w:pStyle w:val="ListBullet"/>
        <w:spacing w:after="40"/>
        <w:ind w:left="567"/>
        <w:jc w:val="both"/>
      </w:pPr>
      <w:r>
        <w:t>Functional Tests: 100% of the acceptance-test suite passes; performance benchmarks meet the agreed thresholds.</w:t>
      </w:r>
    </w:p>
    <w:p>
      <w:pPr>
        <w:pStyle w:val="ListBullet"/>
        <w:spacing w:after="40"/>
        <w:ind w:left="567"/>
        <w:jc w:val="both"/>
      </w:pPr>
      <w:r>
        <w:t>Security: No high or critical vulnerabilities in SAST / SCA / DAST scans; secrets are appropriately managed; dependency vulnerabilities are within agreed risk tolerance.</w:t>
      </w:r>
    </w:p>
    <w:p>
      <w:pPr>
        <w:pStyle w:val="ListBullet"/>
        <w:spacing w:after="40"/>
        <w:ind w:left="567"/>
        <w:jc w:val="both"/>
      </w:pPr>
      <w:r>
        <w:t>Documentation: All required documentation (architecture, API, deployment, runbooks, data lineage) is present and reviewed.</w:t>
      </w:r>
    </w:p>
    <w:p>
      <w:pPr>
        <w:pStyle w:val="ListBullet"/>
        <w:spacing w:after="40"/>
        <w:ind w:left="567"/>
        <w:jc w:val="both"/>
      </w:pPr>
      <w:r>
        <w:t>IP Hygiene: SBOM (Software Bill of Materials) generated; open source attribution file verified; no GPL/AGPL contamination beyond declared scope.</w:t>
      </w:r>
    </w:p>
    <w:p>
      <w:pPr>
        <w:pStyle w:val="ListBullet"/>
        <w:spacing w:after="40"/>
        <w:ind w:left="567"/>
        <w:jc w:val="both"/>
      </w:pPr>
      <w:r>
        <w:t>Data: Datasets are correctly licensed; data privacy compliance documented; consent records verified.</w:t>
      </w:r>
    </w:p>
    <w:p>
      <w:pPr>
        <w:pStyle w:val="ListBullet"/>
        <w:spacing w:after="40"/>
        <w:ind w:left="567"/>
        <w:jc w:val="both"/>
      </w:pPr>
      <w:r>
        <w:t>Models: Model cards present; bias / fairness reports present; weights reproducible.</w:t>
      </w:r>
    </w:p>
    <w:p>
      <w:pPr>
        <w:pStyle w:val="ListBullet"/>
        <w:spacing w:after="40"/>
        <w:ind w:left="567"/>
        <w:jc w:val="both"/>
      </w:pPr>
      <w:r>
        <w:t>Knowledge Transfer: Two (2) successful walkthroughs of code / data / models, with the Company team able to operate, modify and deploy independently thereafter.</w:t>
      </w:r>
    </w:p>
    <w:p>
      <w:r>
        <w:br w:type="page"/>
      </w:r>
    </w:p>
    <w:p>
      <w:pPr>
        <w:spacing w:before="240" w:after="80"/>
        <w:pBdr>
          <w:bottom w:val="single" w:sz="6" w:space="1" w:color="002060"/>
        </w:pBdr>
      </w:pPr>
      <w:r>
        <w:rPr>
          <w:b/>
          <w:color w:val="002060"/>
          <w:sz w:val="25"/>
        </w:rPr>
        <w:t>SCHEDULE 6 — THIRD-PARTY COMPONENTS / LICENCES</w:t>
      </w:r>
    </w:p>
    <w:tbl>
      <w:tblPr>
        <w:tblW w:type="auto" w:w="0"/>
        <w:jc w:val="center"/>
        <w:tblLayout w:type="fixed"/>
        <w:tblLook w:firstColumn="1" w:firstRow="1" w:lastColumn="0" w:lastRow="0" w:noHBand="0" w:noVBand="1" w:val="04A0"/>
      </w:tblPr>
      <w:tblGrid>
        <w:gridCol w:w="1624"/>
        <w:gridCol w:w="1624"/>
        <w:gridCol w:w="1624"/>
        <w:gridCol w:w="1624"/>
        <w:gridCol w:w="1624"/>
        <w:gridCol w:w="1624"/>
      </w:tblGrid>
      <w:tr>
        <w:tc>
          <w:tcPr>
            <w:tcW w:type="dxa" w:w="181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Component</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Vendor</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Licence Type</w:t>
            </w:r>
          </w:p>
        </w:tc>
        <w:tc>
          <w:tcPr>
            <w:tcW w:type="dxa" w:w="124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Term Remaining</w:t>
            </w:r>
          </w:p>
        </w:tc>
        <w:tc>
          <w:tcPr>
            <w:tcW w:type="dxa" w:w="124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Assignable?</w:t>
            </w:r>
          </w:p>
        </w:tc>
        <w:tc>
          <w:tcPr>
            <w:tcW w:type="dxa" w:w="221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Cost / Renewal</w:t>
            </w:r>
          </w:p>
        </w:tc>
      </w:tr>
      <w:tr>
        <w:tc>
          <w:tcPr>
            <w:tcW w:type="dxa" w:w="1814"/>
            <w:tcBorders>
              <w:top w:val="single" w:sz="4" w:color="808080"/>
              <w:left w:val="single" w:sz="4" w:color="808080"/>
              <w:bottom w:val="single" w:sz="4" w:color="808080"/>
              <w:right w:val="single" w:sz="4" w:color="808080"/>
            </w:tcBorders>
            <w:vAlign w:val="center"/>
          </w:tcPr>
          <w:p>
            <w:pPr>
              <w:jc w:val="left"/>
            </w:pPr>
            <w:r/>
            <w:r>
              <w:rPr>
                <w:b/>
                <w:sz w:val="21"/>
              </w:rPr>
              <w:t>{{TP_1_COMP}}</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{{TP_1_VENDOR}}</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{{TP_1_LIC_TYPE}}</w:t>
            </w:r>
          </w:p>
        </w:tc>
        <w:tc>
          <w:tcPr>
            <w:tcW w:type="dxa" w:w="1247"/>
            <w:tcBorders>
              <w:top w:val="single" w:sz="4" w:color="808080"/>
              <w:left w:val="single" w:sz="4" w:color="808080"/>
              <w:bottom w:val="single" w:sz="4" w:color="808080"/>
              <w:right w:val="single" w:sz="4" w:color="808080"/>
            </w:tcBorders>
            <w:vAlign w:val="center"/>
          </w:tcPr>
          <w:p>
            <w:pPr>
              <w:jc w:val="left"/>
            </w:pPr>
            <w:r/>
            <w:r>
              <w:rPr>
                <w:sz w:val="21"/>
              </w:rPr>
              <w:t>{{TP_1_TERM}}</w:t>
            </w:r>
          </w:p>
        </w:tc>
        <w:tc>
          <w:tcPr>
            <w:tcW w:type="dxa" w:w="1247"/>
            <w:tcBorders>
              <w:top w:val="single" w:sz="4" w:color="808080"/>
              <w:left w:val="single" w:sz="4" w:color="808080"/>
              <w:bottom w:val="single" w:sz="4" w:color="808080"/>
              <w:right w:val="single" w:sz="4" w:color="808080"/>
            </w:tcBorders>
            <w:vAlign w:val="center"/>
          </w:tcPr>
          <w:p>
            <w:pPr>
              <w:jc w:val="left"/>
            </w:pPr>
            <w:r/>
            <w:r>
              <w:rPr>
                <w:sz w:val="21"/>
              </w:rPr>
              <w:t>{{TP_1_ASSIGN}}</w:t>
            </w:r>
          </w:p>
        </w:tc>
        <w:tc>
          <w:tcPr>
            <w:tcW w:type="dxa" w:w="2211"/>
            <w:tcBorders>
              <w:top w:val="single" w:sz="4" w:color="808080"/>
              <w:left w:val="single" w:sz="4" w:color="808080"/>
              <w:bottom w:val="single" w:sz="4" w:color="808080"/>
              <w:right w:val="single" w:sz="4" w:color="808080"/>
            </w:tcBorders>
            <w:vAlign w:val="center"/>
          </w:tcPr>
          <w:p>
            <w:pPr>
              <w:jc w:val="left"/>
            </w:pPr>
            <w:r/>
            <w:r>
              <w:rPr>
                <w:sz w:val="21"/>
              </w:rPr>
              <w:t>{{TP_1_COST}}</w:t>
            </w:r>
          </w:p>
        </w:tc>
      </w:tr>
      <w:tr>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{{TP_2_COMP}}</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{{TP_2_VENDOR}}</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{{TP_2_LIC_TYPE}}</w:t>
            </w:r>
          </w:p>
        </w:tc>
        <w:tc>
          <w:tcPr>
            <w:tcW w:type="dxa" w:w="124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{{TP_2_TERM}}</w:t>
            </w:r>
          </w:p>
        </w:tc>
        <w:tc>
          <w:tcPr>
            <w:tcW w:type="dxa" w:w="124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{{TP_2_ASSIGN}}</w:t>
            </w:r>
          </w:p>
        </w:tc>
        <w:tc>
          <w:tcPr>
            <w:tcW w:type="dxa" w:w="221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{{TP_2_COST}}</w:t>
            </w:r>
          </w:p>
        </w:tc>
      </w:tr>
      <w:tr>
        <w:tc>
          <w:tcPr>
            <w:tcW w:type="dxa" w:w="1814"/>
            <w:tcBorders>
              <w:top w:val="single" w:sz="4" w:color="808080"/>
              <w:left w:val="single" w:sz="4" w:color="808080"/>
              <w:bottom w:val="single" w:sz="4" w:color="808080"/>
              <w:right w:val="single" w:sz="4" w:color="808080"/>
            </w:tcBorders>
            <w:vAlign w:val="center"/>
          </w:tcPr>
          <w:p>
            <w:pPr>
              <w:jc w:val="left"/>
            </w:pPr>
            <w:r/>
            <w:r>
              <w:rPr>
                <w:b/>
                <w:sz w:val="21"/>
              </w:rPr>
              <w:t>{{TP_3_COMP}}</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{{TP_3_VENDOR}}</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{{TP_3_LIC_TYPE}}</w:t>
            </w:r>
          </w:p>
        </w:tc>
        <w:tc>
          <w:tcPr>
            <w:tcW w:type="dxa" w:w="1247"/>
            <w:tcBorders>
              <w:top w:val="single" w:sz="4" w:color="808080"/>
              <w:left w:val="single" w:sz="4" w:color="808080"/>
              <w:bottom w:val="single" w:sz="4" w:color="808080"/>
              <w:right w:val="single" w:sz="4" w:color="808080"/>
            </w:tcBorders>
            <w:vAlign w:val="center"/>
          </w:tcPr>
          <w:p>
            <w:pPr>
              <w:jc w:val="left"/>
            </w:pPr>
            <w:r/>
            <w:r>
              <w:rPr>
                <w:sz w:val="21"/>
              </w:rPr>
              <w:t>{{TP_3_TERM}}</w:t>
            </w:r>
          </w:p>
        </w:tc>
        <w:tc>
          <w:tcPr>
            <w:tcW w:type="dxa" w:w="1247"/>
            <w:tcBorders>
              <w:top w:val="single" w:sz="4" w:color="808080"/>
              <w:left w:val="single" w:sz="4" w:color="808080"/>
              <w:bottom w:val="single" w:sz="4" w:color="808080"/>
              <w:right w:val="single" w:sz="4" w:color="808080"/>
            </w:tcBorders>
            <w:vAlign w:val="center"/>
          </w:tcPr>
          <w:p>
            <w:pPr>
              <w:jc w:val="left"/>
            </w:pPr>
            <w:r/>
            <w:r>
              <w:rPr>
                <w:sz w:val="21"/>
              </w:rPr>
              <w:t>{{TP_3_ASSIGN}}</w:t>
            </w:r>
          </w:p>
        </w:tc>
        <w:tc>
          <w:tcPr>
            <w:tcW w:type="dxa" w:w="2211"/>
            <w:tcBorders>
              <w:top w:val="single" w:sz="4" w:color="808080"/>
              <w:left w:val="single" w:sz="4" w:color="808080"/>
              <w:bottom w:val="single" w:sz="4" w:color="808080"/>
              <w:right w:val="single" w:sz="4" w:color="808080"/>
            </w:tcBorders>
            <w:vAlign w:val="center"/>
          </w:tcPr>
          <w:p>
            <w:pPr>
              <w:jc w:val="left"/>
            </w:pPr>
            <w:r/>
            <w:r>
              <w:rPr>
                <w:sz w:val="21"/>
              </w:rPr>
              <w:t>{{TP_3_COST}}</w:t>
            </w:r>
          </w:p>
        </w:tc>
      </w:tr>
      <w:tr>
        <w:tc>
          <w:tcPr>
            <w:tcW w:type="dxa" w:w="181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[Add as required]</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24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24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221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bl>
    <w:p/>
    <w:p>
      <w:r>
        <w:br w:type="page"/>
      </w:r>
    </w:p>
    <w:p>
      <w:pPr>
        <w:spacing w:before="240" w:after="80"/>
        <w:pBdr>
          <w:bottom w:val="single" w:sz="6" w:space="1" w:color="002060"/>
        </w:pBdr>
      </w:pPr>
      <w:r>
        <w:rPr>
          <w:b/>
          <w:color w:val="002060"/>
          <w:sz w:val="25"/>
        </w:rPr>
        <w:t>SCHEDULE 7 — DELIVERY SPECIFICATION</w:t>
      </w:r>
    </w:p>
    <w:p>
      <w:pPr>
        <w:pStyle w:val="ListBullet"/>
        <w:spacing w:after="40"/>
        <w:ind w:left="567"/>
        <w:jc w:val="both"/>
      </w:pPr>
      <w:r>
        <w:t>Source Code &amp; build artefacts via private repository handover ({{REPO_PLATFORM}}) — transfer of repository ownership to {{COMPANY_REPO_HANDLE}}.</w:t>
      </w:r>
    </w:p>
    <w:p>
      <w:pPr>
        <w:pStyle w:val="ListBullet"/>
        <w:spacing w:after="40"/>
        <w:ind w:left="567"/>
        <w:jc w:val="both"/>
      </w:pPr>
      <w:r>
        <w:t>Datasets via secure cloud storage ({{CLOUD_STORAGE_PROVIDER}}) with read/write access transferred to {{COMPANY_CLOUD_ACCOUNT}}.</w:t>
      </w:r>
    </w:p>
    <w:p>
      <w:pPr>
        <w:pStyle w:val="ListBullet"/>
        <w:spacing w:after="40"/>
        <w:ind w:left="567"/>
        <w:jc w:val="both"/>
      </w:pPr>
      <w:r>
        <w:t>Model weights and checkpoints via {{MODEL_DELIVERY_METHOD}}, with reproducibility scripts and training logs included.</w:t>
      </w:r>
    </w:p>
    <w:p>
      <w:pPr>
        <w:pStyle w:val="ListBullet"/>
        <w:spacing w:after="40"/>
        <w:ind w:left="567"/>
        <w:jc w:val="both"/>
      </w:pPr>
      <w:r>
        <w:t>Documentation via {{DOCS_DELIVERY_METHOD}} (e.g., Confluence / Notion / PDF bundle).</w:t>
      </w:r>
    </w:p>
    <w:p>
      <w:pPr>
        <w:pStyle w:val="ListBullet"/>
        <w:spacing w:after="40"/>
        <w:ind w:left="567"/>
        <w:jc w:val="both"/>
      </w:pPr>
      <w:r>
        <w:t>Registered IP certificates via physical hand-over and digital scan, with executed assignment deeds.</w:t>
      </w:r>
    </w:p>
    <w:p>
      <w:pPr>
        <w:pStyle w:val="ListBullet"/>
        <w:spacing w:after="40"/>
        <w:ind w:left="567"/>
        <w:jc w:val="both"/>
      </w:pPr>
      <w:r>
        <w:t>Cloud / DNS / Domain credentials via {{CREDENTIALS_DELIVERY_METHOD}} (e.g., shared password manager vault).</w:t>
      </w:r>
    </w:p>
    <w:p>
      <w:r>
        <w:br w:type="page"/>
      </w:r>
    </w:p>
    <w:p>
      <w:pPr>
        <w:spacing w:before="240" w:after="80"/>
        <w:pBdr>
          <w:bottom w:val="single" w:sz="6" w:space="1" w:color="002060"/>
        </w:pBdr>
      </w:pPr>
      <w:r>
        <w:rPr>
          <w:b/>
          <w:color w:val="002060"/>
          <w:sz w:val="25"/>
        </w:rPr>
        <w:t>SCHEDULE 8 — PAYMENT SCHEDULE</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Milestone</w:t>
            </w:r>
          </w:p>
        </w:tc>
        <w:tc>
          <w:tcPr>
            <w:tcW w:type="dxa" w:w="3402"/>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Trigger</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Target Date</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Advance</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Execution of Agreement</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{{PAY_ADV_AMOUNT}}</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{{PAY_ADV_DATE}}</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On Delivery</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Successful Delivery</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{{PAY_DEL_AMOUNT}}</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{{PAY_DEL_DATE}}</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On Acceptance</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Acceptance Date</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{{PAY_ACC_AMOUNT}}</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{{PAY_ACC_DATE}}</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Holdback Release</w:t>
            </w:r>
          </w:p>
        </w:tc>
        <w:tc>
          <w:tcPr>
            <w:tcW w:type="dxa" w:w="3402"/>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Expiry of Holdback Period (less any claims)</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{{HOLDBACK_INR}}</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{{HOLDBACK_RELEASE_DATE}}</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Total</w:t>
            </w:r>
          </w:p>
        </w:tc>
        <w:tc>
          <w:tcPr>
            <w:tcW w:type="dxa" w:w="3402"/>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{{TOTAL_CONSIDERATION_INR}}</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w:t>
            </w:r>
          </w:p>
        </w:tc>
      </w:tr>
    </w:tbl>
    <w:p/>
    <w:p>
      <w:r>
        <w:br w:type="page"/>
      </w:r>
    </w:p>
    <w:p>
      <w:pPr>
        <w:spacing w:before="240" w:after="80"/>
        <w:pBdr>
          <w:bottom w:val="single" w:sz="6" w:space="1" w:color="002060"/>
        </w:pBdr>
      </w:pPr>
      <w:r>
        <w:rPr>
          <w:b/>
          <w:color w:val="002060"/>
          <w:sz w:val="25"/>
        </w:rPr>
        <w:t>DRAFTING NOTES (REMOVE BEFORE EXECUTION)</w:t>
      </w:r>
    </w:p>
    <w:p>
      <w:pPr>
        <w:pStyle w:val="ListBullet"/>
        <w:spacing w:after="40"/>
        <w:ind w:left="567"/>
        <w:jc w:val="both"/>
      </w:pPr>
      <w:r>
        <w:t>Stamp duty: Outright assignment of IP is typically stampable as Conveyance (Article 23 of Indian Stamp Act / State Stamp Acts). Ad valorem rates vary: ~3–5% of consideration. Licence agreements may be stampable as Article 5 (Agreement) — much lower.</w:t>
      </w:r>
    </w:p>
    <w:p>
      <w:pPr>
        <w:pStyle w:val="ListBullet"/>
        <w:spacing w:after="40"/>
        <w:ind w:left="567"/>
        <w:jc w:val="both"/>
      </w:pPr>
      <w:r>
        <w:t>Patents: File Form 16 with Patent Office within 6 months of assignment under Section 68 of the Patents Act, 1970 to make the assignment admissible in evidence and binding on subsequent transferees.</w:t>
      </w:r>
    </w:p>
    <w:p>
      <w:pPr>
        <w:pStyle w:val="ListBullet"/>
        <w:spacing w:after="40"/>
        <w:ind w:left="567"/>
        <w:jc w:val="both"/>
      </w:pPr>
      <w:r>
        <w:t>Trade Marks: File Form TM-P with the Trade Marks Registry under Section 45 of the Trade Marks Act, 1999, with the duly stamped assignment deed and proof of consideration.</w:t>
      </w:r>
    </w:p>
    <w:p>
      <w:pPr>
        <w:pStyle w:val="ListBullet"/>
        <w:spacing w:after="40"/>
        <w:ind w:left="567"/>
        <w:jc w:val="both"/>
      </w:pPr>
      <w:r>
        <w:t>Designs: File Form 10 with the Designs Office under Section 30 of the Designs Act, 2000.</w:t>
      </w:r>
    </w:p>
    <w:p>
      <w:pPr>
        <w:pStyle w:val="ListBullet"/>
        <w:spacing w:after="40"/>
        <w:ind w:left="567"/>
        <w:jc w:val="both"/>
      </w:pPr>
      <w:r>
        <w:t>Copyright: Section 19 of the Copyright Act, 1957 — assignment to be in writing; voluntary registration available via Form XIV with the Copyright Office.</w:t>
      </w:r>
    </w:p>
    <w:p>
      <w:pPr>
        <w:pStyle w:val="ListBullet"/>
        <w:spacing w:after="40"/>
        <w:ind w:left="567"/>
        <w:jc w:val="both"/>
      </w:pPr>
      <w:r>
        <w:t>GST: Permanent transfer of IP (Schedule II, entry 5(d) of CGST Act, 2017) is supply of services — 18% GST (subject to current notifications). Temporary licence (entry 5(c)) also taxable.</w:t>
      </w:r>
    </w:p>
    <w:p>
      <w:pPr>
        <w:pStyle w:val="ListBullet"/>
        <w:spacing w:after="40"/>
        <w:ind w:left="567"/>
        <w:jc w:val="both"/>
      </w:pPr>
      <w:r>
        <w:t>TDS: For a non-resident assignor, withhold under Section 195 (royalties / IP — refer Section 9(1)(vi) for sourcing). Equalisation Levy may apply for certain digital services (verify post-2024 amendments).</w:t>
      </w:r>
    </w:p>
    <w:p>
      <w:pPr>
        <w:pStyle w:val="ListBullet"/>
        <w:spacing w:after="40"/>
        <w:ind w:left="567"/>
        <w:jc w:val="both"/>
      </w:pPr>
      <w:r>
        <w:t>FEMA: Cross-border IP transfer governed by AD Bank reporting; if consideration is deferred (instalments), characterisation as ECB may apply.</w:t>
      </w:r>
    </w:p>
    <w:p>
      <w:pPr>
        <w:pStyle w:val="ListBullet"/>
        <w:spacing w:after="40"/>
        <w:ind w:left="567"/>
        <w:jc w:val="both"/>
      </w:pPr>
      <w:r>
        <w:t>Source code escrow with an Indian escrow agent ({{ESCROW_AGENT_NAME}}) is recommended for technology transferred from an Assignor whose continuation in business is uncertain.</w:t>
      </w:r>
    </w:p>
    <w:p>
      <w:pPr>
        <w:pStyle w:val="ListBullet"/>
        <w:spacing w:after="40"/>
        <w:ind w:left="567"/>
        <w:jc w:val="both"/>
      </w:pPr>
      <w:r>
        <w:t>For technology transferred from an Indian public-funded research institution, ensure compliance with the Department of Science &amp; Technology / Indian Council of Scientific and Industrial Research IP guidelines, including march-in rights and royalty-share obligations.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