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74B46F">
      <w:pPr>
        <w:jc w:val="center"/>
        <w:rPr>
          <w:rFonts w:hint="eastAsia" w:ascii="黑体" w:hAnsi="黑体" w:eastAsia="黑体" w:cs="黑体"/>
          <w:sz w:val="36"/>
          <w:szCs w:val="44"/>
          <w:lang w:val="en-US" w:eastAsia="zh-CN"/>
        </w:rPr>
      </w:pPr>
      <w:r>
        <w:rPr>
          <w:rFonts w:hint="eastAsia" w:ascii="黑体" w:hAnsi="黑体" w:eastAsia="黑体" w:cs="黑体"/>
          <w:sz w:val="36"/>
          <w:szCs w:val="44"/>
          <w:lang w:val="en-US" w:eastAsia="zh-CN"/>
        </w:rPr>
        <w:t>202</w:t>
      </w:r>
      <w:r>
        <w:rPr>
          <w:rFonts w:hint="default" w:ascii="黑体" w:hAnsi="黑体" w:eastAsia="黑体" w:cs="黑体"/>
          <w:sz w:val="36"/>
          <w:szCs w:val="44"/>
          <w:lang w:val="en-US" w:eastAsia="zh-CN"/>
        </w:rPr>
        <w:t>5</w:t>
      </w:r>
      <w:r>
        <w:rPr>
          <w:rFonts w:hint="eastAsia" w:ascii="黑体" w:hAnsi="黑体" w:eastAsia="黑体" w:cs="黑体"/>
          <w:sz w:val="36"/>
          <w:szCs w:val="44"/>
          <w:lang w:val="en-US" w:eastAsia="zh-CN"/>
        </w:rPr>
        <w:t>-202</w:t>
      </w:r>
      <w:r>
        <w:rPr>
          <w:rFonts w:hint="default" w:ascii="黑体" w:hAnsi="黑体" w:eastAsia="黑体" w:cs="黑体"/>
          <w:sz w:val="36"/>
          <w:szCs w:val="44"/>
          <w:lang w:val="en-US" w:eastAsia="zh-CN"/>
        </w:rPr>
        <w:t>6</w:t>
      </w:r>
      <w:r>
        <w:rPr>
          <w:rFonts w:hint="eastAsia" w:ascii="黑体" w:hAnsi="黑体" w:eastAsia="黑体" w:cs="黑体"/>
          <w:sz w:val="36"/>
          <w:szCs w:val="44"/>
          <w:lang w:val="en-US" w:eastAsia="zh-CN"/>
        </w:rPr>
        <w:t>-</w:t>
      </w:r>
      <w:r>
        <w:rPr>
          <w:rFonts w:hint="default" w:ascii="黑体" w:hAnsi="黑体" w:eastAsia="黑体" w:cs="黑体"/>
          <w:sz w:val="36"/>
          <w:szCs w:val="44"/>
          <w:lang w:val="en-US" w:eastAsia="zh-CN"/>
        </w:rPr>
        <w:t>1</w:t>
      </w:r>
      <w:r>
        <w:rPr>
          <w:rFonts w:hint="eastAsia" w:ascii="黑体" w:hAnsi="黑体" w:eastAsia="黑体" w:cs="黑体"/>
          <w:sz w:val="36"/>
          <w:szCs w:val="44"/>
          <w:lang w:val="en-US" w:eastAsia="zh-CN"/>
        </w:rPr>
        <w:t>学期习近平新时代中国特色社会主义</w:t>
      </w:r>
    </w:p>
    <w:p w14:paraId="5A419E07">
      <w:pPr>
        <w:jc w:val="center"/>
        <w:rPr>
          <w:rFonts w:hint="eastAsia"/>
          <w:lang w:val="en-US" w:eastAsia="zh-CN"/>
        </w:rPr>
      </w:pPr>
      <w:r>
        <w:rPr>
          <w:rFonts w:hint="eastAsia" w:ascii="黑体" w:hAnsi="黑体" w:eastAsia="黑体" w:cs="黑体"/>
          <w:sz w:val="36"/>
          <w:szCs w:val="44"/>
          <w:lang w:val="en-US" w:eastAsia="zh-CN"/>
        </w:rPr>
        <w:t>思想概论课程实践安排</w:t>
      </w:r>
    </w:p>
    <w:p w14:paraId="6705887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80" w:lineRule="exact"/>
        <w:ind w:firstLine="560" w:firstLineChars="200"/>
        <w:jc w:val="both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一、实践主题</w:t>
      </w:r>
    </w:p>
    <w:p w14:paraId="09075A32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exact"/>
        <w:ind w:firstLine="560" w:firstLineChars="200"/>
        <w:jc w:val="both"/>
        <w:textAlignment w:val="auto"/>
        <w:rPr>
          <w:rFonts w:hint="default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习思想概论中民生课题的典型案例考察</w:t>
      </w:r>
    </w:p>
    <w:p w14:paraId="030A7DD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80" w:lineRule="exact"/>
        <w:ind w:firstLine="560" w:firstLineChars="200"/>
        <w:jc w:val="both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二、实践背景</w:t>
      </w:r>
    </w:p>
    <w:p w14:paraId="52F0EA9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80" w:lineRule="exact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“江山就是人民，人民就是江山。”民生是人民幸福之基、社会和谐之本。新时代以来，我国在民生领域取得显著成就，包括脱贫攻坚战的全面胜利、基本公共服务均等化的持续推进、就业优先政策的全面落实、社会保障体系的不断完善等，充分体现了以人民为中心的发展思想。</w:t>
      </w:r>
    </w:p>
    <w:p w14:paraId="58B49B3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line="480" w:lineRule="exact"/>
        <w:ind w:firstLine="560" w:firstLineChars="200"/>
        <w:jc w:val="both"/>
        <w:textAlignment w:val="auto"/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习近平新时代中国特色社会主义思想中关于民生的重要论述，为我们理解和推进民生建设提供了根本遵循。通过实践考察，深入理解习思想中民生理念的实践路径与成效，有助于增强学生对中国特色社会主义民生保障体系的认识与认同。</w:t>
      </w:r>
    </w:p>
    <w:p w14:paraId="7AA43203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80" w:lineRule="exact"/>
        <w:ind w:firstLine="560" w:firstLineChars="200"/>
        <w:jc w:val="both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三、实践要求</w:t>
      </w:r>
    </w:p>
    <w:p w14:paraId="1B877615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80" w:lineRule="exact"/>
        <w:ind w:firstLine="560" w:firstLineChars="200"/>
        <w:jc w:val="both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围绕习近平新时代中国特色社会主义思想中关于民生的重要论述，选取具有代表性的民生实践案例，从“理念阐释、实践路径、成效评估、价值意义”等方面进行深入剖析。案例应具备典型性、真实性和启发性，体现习思想在民生领域的指导作用与实践成果。</w:t>
      </w:r>
    </w:p>
    <w:p w14:paraId="14222DD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157" w:afterLines="50" w:line="480" w:lineRule="exact"/>
        <w:ind w:firstLine="560" w:firstLineChars="200"/>
        <w:jc w:val="both"/>
        <w:textAlignment w:val="auto"/>
        <w:rPr>
          <w:rFonts w:hint="eastAsia" w:ascii="黑体" w:hAnsi="黑体" w:eastAsia="黑体" w:cs="黑体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sz w:val="28"/>
          <w:szCs w:val="36"/>
          <w:lang w:val="en-US" w:eastAsia="zh-CN"/>
        </w:rPr>
        <w:t>四、实践安排</w:t>
      </w:r>
    </w:p>
    <w:p w14:paraId="5216E3CF">
      <w:pPr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（1）以小组为单位，设计实践考察方案并制作汇报课件。</w:t>
      </w:r>
    </w:p>
    <w:p w14:paraId="7C6FE1DF">
      <w:pPr>
        <w:rPr>
          <w:rFonts w:hint="eastAsia" w:ascii="仿宋" w:hAnsi="仿宋" w:eastAsia="仿宋" w:cs="仿宋"/>
          <w:sz w:val="28"/>
          <w:szCs w:val="36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（2）每组撰写一份实践报告，署名按贡献排名（可并列，用序号标注排名）。</w:t>
      </w:r>
    </w:p>
    <w:p w14:paraId="341C514F">
      <w:pPr>
        <w:rPr>
          <w:rFonts w:hint="default"/>
          <w:lang w:val="en-US" w:eastAsia="zh-CN"/>
        </w:rPr>
      </w:pPr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（3）各小组</w:t>
      </w:r>
      <w:bookmarkStart w:id="0" w:name="_GoBack"/>
      <w:bookmarkEnd w:id="0"/>
      <w:r>
        <w:rPr>
          <w:rFonts w:hint="eastAsia" w:ascii="仿宋" w:hAnsi="仿宋" w:eastAsia="仿宋" w:cs="仿宋"/>
          <w:sz w:val="28"/>
          <w:szCs w:val="36"/>
          <w:lang w:val="en-US" w:eastAsia="zh-CN"/>
        </w:rPr>
        <w:t>代表在第十一周进行课堂汇报，</w:t>
      </w:r>
      <w:r>
        <w:rPr>
          <w:rFonts w:hint="eastAsia" w:ascii="仿宋" w:hAnsi="仿宋" w:eastAsia="仿宋" w:cs="仿宋"/>
          <w:color w:val="FF0000"/>
          <w:sz w:val="28"/>
          <w:szCs w:val="36"/>
          <w:lang w:val="en-US" w:eastAsia="zh-CN"/>
        </w:rPr>
        <w:t>汇</w:t>
      </w:r>
      <w:r>
        <w:rPr>
          <w:rFonts w:hint="eastAsia" w:ascii="仿宋" w:hAnsi="仿宋" w:eastAsia="仿宋" w:cs="仿宋"/>
          <w:color w:val="FF0000"/>
          <w:sz w:val="28"/>
          <w:szCs w:val="36"/>
          <w:lang w:val="en-US" w:eastAsia="zh-CN"/>
        </w:rPr>
        <w:t>报时间不超过7分钟。</w:t>
      </w:r>
      <w:r>
        <w:rPr>
          <w:rFonts w:hint="default"/>
          <w:lang w:val="en-US" w:eastAsia="zh-CN"/>
        </w:rPr>
        <w:br w:type="page"/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3227"/>
        <w:gridCol w:w="1942"/>
        <w:gridCol w:w="1223"/>
      </w:tblGrid>
      <w:tr w14:paraId="42F5FA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atLeast"/>
          <w:jc w:val="center"/>
        </w:trPr>
        <w:tc>
          <w:tcPr>
            <w:tcW w:w="8522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</w:tcPr>
          <w:p w14:paraId="2D8CA9B2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黑体" w:hAnsi="黑体" w:eastAsia="黑体" w:cs="黑体"/>
                <w:sz w:val="36"/>
                <w:szCs w:val="44"/>
                <w:vertAlign w:val="baseline"/>
                <w:lang w:val="en-US" w:eastAsia="zh-CN"/>
              </w:rPr>
              <w:t>课程实践评分表</w:t>
            </w:r>
          </w:p>
        </w:tc>
      </w:tr>
      <w:tr w14:paraId="37D0F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78" w:hRule="atLeast"/>
          <w:jc w:val="center"/>
        </w:trPr>
        <w:tc>
          <w:tcPr>
            <w:tcW w:w="2130" w:type="dxa"/>
            <w:vAlign w:val="center"/>
          </w:tcPr>
          <w:p w14:paraId="65C6CCDB">
            <w:pPr>
              <w:jc w:val="center"/>
              <w:rPr>
                <w:rFonts w:hint="default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8"/>
                <w:vertAlign w:val="baseline"/>
                <w:lang w:val="en-US" w:eastAsia="zh-CN"/>
              </w:rPr>
              <w:t>评分项</w:t>
            </w:r>
          </w:p>
        </w:tc>
        <w:tc>
          <w:tcPr>
            <w:tcW w:w="3227" w:type="dxa"/>
            <w:vAlign w:val="center"/>
          </w:tcPr>
          <w:p w14:paraId="66D25FDB">
            <w:pPr>
              <w:jc w:val="center"/>
              <w:rPr>
                <w:rFonts w:hint="default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8"/>
                <w:vertAlign w:val="baseline"/>
                <w:lang w:val="en-US" w:eastAsia="zh-CN"/>
              </w:rPr>
              <w:t>评分标准</w:t>
            </w:r>
          </w:p>
        </w:tc>
        <w:tc>
          <w:tcPr>
            <w:tcW w:w="1942" w:type="dxa"/>
            <w:vAlign w:val="center"/>
          </w:tcPr>
          <w:p w14:paraId="2D76BDC1">
            <w:pPr>
              <w:jc w:val="center"/>
              <w:rPr>
                <w:rFonts w:hint="default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8"/>
                <w:vertAlign w:val="baseline"/>
                <w:lang w:val="en-US" w:eastAsia="zh-CN"/>
              </w:rPr>
              <w:t>分值（共100分）</w:t>
            </w:r>
          </w:p>
        </w:tc>
        <w:tc>
          <w:tcPr>
            <w:tcW w:w="1223" w:type="dxa"/>
            <w:vAlign w:val="center"/>
          </w:tcPr>
          <w:p w14:paraId="53DC6ED7">
            <w:pPr>
              <w:jc w:val="center"/>
              <w:rPr>
                <w:rFonts w:hint="default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8"/>
                <w:vertAlign w:val="baseline"/>
                <w:lang w:val="en-US" w:eastAsia="zh-CN"/>
              </w:rPr>
              <w:t>得分</w:t>
            </w:r>
          </w:p>
        </w:tc>
      </w:tr>
      <w:tr w14:paraId="555EE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2130" w:type="dxa"/>
            <w:vMerge w:val="restart"/>
            <w:vAlign w:val="center"/>
          </w:tcPr>
          <w:p w14:paraId="5C0264A3">
            <w:pPr>
              <w:jc w:val="center"/>
              <w:rPr>
                <w:rFonts w:hint="default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8"/>
                <w:vertAlign w:val="baseline"/>
                <w:lang w:val="en-US" w:eastAsia="zh-CN"/>
              </w:rPr>
              <w:t>课件内容及质量</w:t>
            </w:r>
          </w:p>
        </w:tc>
        <w:tc>
          <w:tcPr>
            <w:tcW w:w="3227" w:type="dxa"/>
            <w:vAlign w:val="center"/>
          </w:tcPr>
          <w:p w14:paraId="0B677548">
            <w:p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8"/>
                <w:vertAlign w:val="baseline"/>
                <w:lang w:val="en-US" w:eastAsia="zh-CN"/>
              </w:rPr>
              <w:t>1.逻辑性：</w:t>
            </w: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结构清晰，逻辑连贯，重点突出。</w:t>
            </w:r>
          </w:p>
        </w:tc>
        <w:tc>
          <w:tcPr>
            <w:tcW w:w="1942" w:type="dxa"/>
            <w:vAlign w:val="center"/>
          </w:tcPr>
          <w:p w14:paraId="427510C2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20</w:t>
            </w:r>
          </w:p>
        </w:tc>
        <w:tc>
          <w:tcPr>
            <w:tcW w:w="1223" w:type="dxa"/>
            <w:vAlign w:val="center"/>
          </w:tcPr>
          <w:p w14:paraId="6241F18D">
            <w:p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395461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2130" w:type="dxa"/>
            <w:vMerge w:val="continue"/>
            <w:vAlign w:val="center"/>
          </w:tcPr>
          <w:p w14:paraId="26BCE159">
            <w:pPr>
              <w:jc w:val="center"/>
              <w:rPr>
                <w:rFonts w:hint="default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227" w:type="dxa"/>
            <w:vAlign w:val="center"/>
          </w:tcPr>
          <w:p w14:paraId="58514F07">
            <w:p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8"/>
                <w:vertAlign w:val="baseline"/>
                <w:lang w:val="en-US" w:eastAsia="zh-CN"/>
              </w:rPr>
              <w:t>2.准确性：</w:t>
            </w: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数据、案例引用准确，无常识性错误。</w:t>
            </w:r>
          </w:p>
        </w:tc>
        <w:tc>
          <w:tcPr>
            <w:tcW w:w="1942" w:type="dxa"/>
            <w:vAlign w:val="center"/>
          </w:tcPr>
          <w:p w14:paraId="2C50B2AC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1223" w:type="dxa"/>
            <w:vAlign w:val="center"/>
          </w:tcPr>
          <w:p w14:paraId="1BD812A5">
            <w:p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1437FA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2130" w:type="dxa"/>
            <w:vMerge w:val="continue"/>
            <w:vAlign w:val="center"/>
          </w:tcPr>
          <w:p w14:paraId="20D41339">
            <w:pPr>
              <w:jc w:val="center"/>
              <w:rPr>
                <w:rFonts w:hint="default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227" w:type="dxa"/>
            <w:vAlign w:val="center"/>
          </w:tcPr>
          <w:p w14:paraId="55E74562">
            <w:p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8"/>
                <w:vertAlign w:val="baseline"/>
                <w:lang w:val="en-US" w:eastAsia="zh-CN"/>
              </w:rPr>
              <w:t>3.深度：</w:t>
            </w: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分析深入，有个人见解或创新角度，能引人思考</w:t>
            </w:r>
          </w:p>
        </w:tc>
        <w:tc>
          <w:tcPr>
            <w:tcW w:w="1942" w:type="dxa"/>
            <w:vAlign w:val="center"/>
          </w:tcPr>
          <w:p w14:paraId="397ACC64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30</w:t>
            </w:r>
          </w:p>
        </w:tc>
        <w:tc>
          <w:tcPr>
            <w:tcW w:w="1223" w:type="dxa"/>
            <w:vAlign w:val="center"/>
          </w:tcPr>
          <w:p w14:paraId="4A8494D8">
            <w:p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684F26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2130" w:type="dxa"/>
            <w:vMerge w:val="continue"/>
            <w:vAlign w:val="center"/>
          </w:tcPr>
          <w:p w14:paraId="113324EB">
            <w:pPr>
              <w:jc w:val="center"/>
              <w:rPr>
                <w:rFonts w:hint="default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227" w:type="dxa"/>
            <w:vAlign w:val="center"/>
          </w:tcPr>
          <w:p w14:paraId="71437260">
            <w:p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8"/>
                <w:vertAlign w:val="baseline"/>
                <w:lang w:val="en-US" w:eastAsia="zh-CN"/>
              </w:rPr>
              <w:t>4.美观：</w:t>
            </w: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排版美观，图文搭配合理。</w:t>
            </w:r>
          </w:p>
        </w:tc>
        <w:tc>
          <w:tcPr>
            <w:tcW w:w="1942" w:type="dxa"/>
            <w:vAlign w:val="center"/>
          </w:tcPr>
          <w:p w14:paraId="6AEB697A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1223" w:type="dxa"/>
            <w:vAlign w:val="center"/>
          </w:tcPr>
          <w:p w14:paraId="1CB73019">
            <w:p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35BF44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247" w:hRule="atLeast"/>
          <w:jc w:val="center"/>
        </w:trPr>
        <w:tc>
          <w:tcPr>
            <w:tcW w:w="2130" w:type="dxa"/>
            <w:vMerge w:val="restart"/>
            <w:vAlign w:val="center"/>
          </w:tcPr>
          <w:p w14:paraId="6A2C7F09">
            <w:pPr>
              <w:jc w:val="center"/>
              <w:rPr>
                <w:rFonts w:hint="default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8"/>
                <w:vertAlign w:val="baseline"/>
                <w:lang w:val="en-US" w:eastAsia="zh-CN"/>
              </w:rPr>
              <w:t>现场汇报表现</w:t>
            </w:r>
          </w:p>
        </w:tc>
        <w:tc>
          <w:tcPr>
            <w:tcW w:w="3227" w:type="dxa"/>
            <w:vAlign w:val="center"/>
          </w:tcPr>
          <w:p w14:paraId="4B24B922">
            <w:p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8"/>
                <w:vertAlign w:val="baseline"/>
                <w:lang w:val="en-US" w:eastAsia="zh-CN"/>
              </w:rPr>
              <w:t>1.语言表达：</w:t>
            </w: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语速适中，表达流畅，音调适中。</w:t>
            </w:r>
          </w:p>
        </w:tc>
        <w:tc>
          <w:tcPr>
            <w:tcW w:w="1942" w:type="dxa"/>
            <w:vAlign w:val="center"/>
          </w:tcPr>
          <w:p w14:paraId="0D1E8848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1223" w:type="dxa"/>
            <w:vAlign w:val="center"/>
          </w:tcPr>
          <w:p w14:paraId="763EFEE7">
            <w:p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0A767F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2130" w:type="dxa"/>
            <w:vMerge w:val="continue"/>
            <w:vAlign w:val="center"/>
          </w:tcPr>
          <w:p w14:paraId="0A054CA8">
            <w:pPr>
              <w:jc w:val="center"/>
              <w:rPr>
                <w:rFonts w:hint="eastAsia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</w:p>
        </w:tc>
        <w:tc>
          <w:tcPr>
            <w:tcW w:w="3227" w:type="dxa"/>
            <w:vAlign w:val="center"/>
          </w:tcPr>
          <w:p w14:paraId="7EE838CB">
            <w:p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8"/>
                <w:vertAlign w:val="baseline"/>
                <w:lang w:val="en-US" w:eastAsia="zh-CN"/>
              </w:rPr>
              <w:t>2.互动控场：</w:t>
            </w: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与听众眼神交流，肢体语言自然，能有效调动课堂氛围。</w:t>
            </w:r>
          </w:p>
        </w:tc>
        <w:tc>
          <w:tcPr>
            <w:tcW w:w="1942" w:type="dxa"/>
            <w:vAlign w:val="center"/>
          </w:tcPr>
          <w:p w14:paraId="75B0BF2B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1223" w:type="dxa"/>
            <w:vAlign w:val="center"/>
          </w:tcPr>
          <w:p w14:paraId="21E029E5">
            <w:p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</w:tr>
      <w:tr w14:paraId="4A70A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47" w:hRule="atLeast"/>
          <w:jc w:val="center"/>
        </w:trPr>
        <w:tc>
          <w:tcPr>
            <w:tcW w:w="2130" w:type="dxa"/>
            <w:vAlign w:val="center"/>
          </w:tcPr>
          <w:p w14:paraId="1146AF5E">
            <w:pPr>
              <w:jc w:val="center"/>
              <w:rPr>
                <w:rFonts w:hint="default"/>
                <w:b/>
                <w:bCs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2"/>
                <w:szCs w:val="28"/>
                <w:vertAlign w:val="baseline"/>
                <w:lang w:val="en-US" w:eastAsia="zh-CN"/>
              </w:rPr>
              <w:t>时间控制</w:t>
            </w:r>
          </w:p>
        </w:tc>
        <w:tc>
          <w:tcPr>
            <w:tcW w:w="3227" w:type="dxa"/>
            <w:vAlign w:val="center"/>
          </w:tcPr>
          <w:p w14:paraId="45995C2A">
            <w:pPr>
              <w:rPr>
                <w:rFonts w:hint="default" w:eastAsia="宋体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sz w:val="22"/>
                <w:szCs w:val="28"/>
                <w:vertAlign w:val="baseline"/>
                <w:lang w:val="en-US" w:eastAsia="zh-CN"/>
              </w:rPr>
              <w:t>1</w:t>
            </w:r>
            <w:r>
              <w:rPr>
                <w:rFonts w:hint="eastAsia"/>
                <w:b/>
                <w:bCs/>
                <w:sz w:val="22"/>
                <w:szCs w:val="28"/>
                <w:vertAlign w:val="baseline"/>
                <w:lang w:val="en-US" w:eastAsia="zh-CN"/>
              </w:rPr>
              <w:t>.</w:t>
            </w: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时间安排合理，总时长≤7分钟，每超1分钟扣0.5分，最多扣10分</w:t>
            </w:r>
          </w:p>
        </w:tc>
        <w:tc>
          <w:tcPr>
            <w:tcW w:w="1942" w:type="dxa"/>
            <w:vAlign w:val="center"/>
          </w:tcPr>
          <w:p w14:paraId="1DC2D29B">
            <w:pPr>
              <w:jc w:val="center"/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2"/>
                <w:szCs w:val="28"/>
                <w:vertAlign w:val="baseline"/>
                <w:lang w:val="en-US" w:eastAsia="zh-CN"/>
              </w:rPr>
              <w:t>10</w:t>
            </w:r>
          </w:p>
        </w:tc>
        <w:tc>
          <w:tcPr>
            <w:tcW w:w="1223" w:type="dxa"/>
            <w:vAlign w:val="center"/>
          </w:tcPr>
          <w:p w14:paraId="61C00928">
            <w:pPr>
              <w:rPr>
                <w:rFonts w:hint="default"/>
                <w:sz w:val="22"/>
                <w:szCs w:val="28"/>
                <w:vertAlign w:val="baseline"/>
                <w:lang w:val="en-US" w:eastAsia="zh-CN"/>
              </w:rPr>
            </w:pPr>
          </w:p>
        </w:tc>
      </w:tr>
    </w:tbl>
    <w:p w14:paraId="0AD8EEEA"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A3CDF5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11B2B45">
                          <w:pPr>
                            <w:pStyle w:val="2"/>
                            <w:rPr>
                              <w:rFonts w:hint="eastAsia" w:ascii="宋体" w:hAnsi="宋体" w:eastAsia="宋体" w:cs="宋体"/>
                              <w:sz w:val="22"/>
                              <w:szCs w:val="36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sz w:val="22"/>
                              <w:szCs w:val="36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sz w:val="22"/>
                              <w:szCs w:val="3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sz w:val="22"/>
                              <w:szCs w:val="36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sz w:val="22"/>
                              <w:szCs w:val="36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sz w:val="22"/>
                              <w:szCs w:val="36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11B2B45">
                    <w:pPr>
                      <w:pStyle w:val="2"/>
                      <w:rPr>
                        <w:rFonts w:hint="eastAsia" w:ascii="宋体" w:hAnsi="宋体" w:eastAsia="宋体" w:cs="宋体"/>
                        <w:sz w:val="22"/>
                        <w:szCs w:val="36"/>
                      </w:rPr>
                    </w:pPr>
                    <w:r>
                      <w:rPr>
                        <w:rFonts w:hint="eastAsia" w:ascii="宋体" w:hAnsi="宋体" w:eastAsia="宋体" w:cs="宋体"/>
                        <w:sz w:val="22"/>
                        <w:szCs w:val="36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sz w:val="22"/>
                        <w:szCs w:val="36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sz w:val="22"/>
                        <w:szCs w:val="36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sz w:val="22"/>
                        <w:szCs w:val="36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sz w:val="22"/>
                        <w:szCs w:val="36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9D18E6"/>
    <w:rsid w:val="043E1F40"/>
    <w:rsid w:val="10014FAA"/>
    <w:rsid w:val="1367124E"/>
    <w:rsid w:val="13714D3B"/>
    <w:rsid w:val="26404627"/>
    <w:rsid w:val="287B1E76"/>
    <w:rsid w:val="29736C60"/>
    <w:rsid w:val="2F9E2DF7"/>
    <w:rsid w:val="32BF4B25"/>
    <w:rsid w:val="39840CDB"/>
    <w:rsid w:val="41D852BC"/>
    <w:rsid w:val="51F64F2D"/>
    <w:rsid w:val="53647EC7"/>
    <w:rsid w:val="651D5D7E"/>
    <w:rsid w:val="69F37393"/>
    <w:rsid w:val="6FAC19B2"/>
    <w:rsid w:val="72155D12"/>
    <w:rsid w:val="79554E68"/>
    <w:rsid w:val="7C9225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basedOn w:val="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781</Words>
  <Characters>811</Characters>
  <Lines>0</Lines>
  <Paragraphs>0</Paragraphs>
  <TotalTime>56</TotalTime>
  <ScaleCrop>false</ScaleCrop>
  <LinksUpToDate>false</LinksUpToDate>
  <CharactersWithSpaces>811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2025-04-07T10:19:00Z</dcterms:created>
  <dc:creator>Lenovo</dc:creator>
  <cp:lastModifiedBy>菡萏</cp:lastModifiedBy>
  <dcterms:modified xsi:type="dcterms:W3CDTF">2025-10-23T06:41:01Z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KSOTemplateDocerSaveRecord">
    <vt:lpwstr>eyJoZGlkIjoiOGE5YWNiNmU4MmM0ZWQ3OGI3OWFlNjNkY2UyYWM2ZTkiLCJ1c2VySWQiOiIxMDU0NzUxMTIzIn0=</vt:lpwstr>
  </property>
  <property fmtid="{D5CDD505-2E9C-101B-9397-08002B2CF9AE}" pid="4" name="ICV">
    <vt:lpwstr>F3AD8CDC9C7D4C88AFA2EB4F46912DE6_12</vt:lpwstr>
  </property>
</Properties>
</file>