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000000"/>
          <w:sz w:val="28"/>
        </w:rPr>
        <w:t>BCTVI ONLINE CABLE SERVICE MANAGEMENT SYSTEM</w:t>
      </w:r>
    </w:p>
    <w:p>
      <w:pPr>
        <w:spacing w:after="100"/>
        <w:jc w:val="center"/>
      </w:pPr>
      <w:r>
        <w:rPr>
          <w:rFonts w:ascii="Arial" w:hAnsi="Arial"/>
          <w:b/>
          <w:sz w:val="24"/>
        </w:rPr>
        <w:t>SYSTEM ARCHITECTURE</w:t>
      </w:r>
    </w:p>
    <w:p>
      <w:pPr>
        <w:spacing w:before="0" w:after="60"/>
        <w:jc w:val="center"/>
      </w:pPr>
      <w:r>
        <w:drawing>
          <wp:inline xmlns:a="http://schemas.openxmlformats.org/drawingml/2006/main" xmlns:pic="http://schemas.openxmlformats.org/drawingml/2006/picture">
            <wp:extent cx="6720840" cy="10017856"/>
            <wp:docPr id="1" name="BCTVI System Architecture" descr="Layered architecture showing client, transport, Laravel application, data, and supporting servic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TN-System-Architecture-publish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100178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center"/>
      </w:pPr>
      <w:r>
        <w:rPr>
          <w:rFonts w:ascii="Arial" w:hAnsi="Arial"/>
          <w:i/>
          <w:sz w:val="18"/>
        </w:rPr>
        <w:t>Figure 1. Layered system architecture of the BCTVI Online Cable Service Management System.</w:t>
      </w:r>
    </w:p>
    <w:sectPr w:rsidR="00FC693F" w:rsidRPr="0006063C" w:rsidSect="00034616">
      <w:pgSz w:w="12240" w:h="20160"/>
      <w:pgMar w:top="504" w:right="648" w:bottom="504" w:left="648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BCTVI System Architecture</dc:title>
  <dc:subject>Layered system architecture diagram</dc:subject>
  <dc:creator>BCTVI Capstone Project Team</dc:creator>
  <cp:keywords>BCTVI, system architecture, Laravel, Android,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