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200" w:before="0"/>
        <w:jc w:val="center"/>
      </w:pPr>
      <w:r>
        <w:rPr>
          <w:rFonts w:ascii="Segoe UI Emoji" w:cs="Segoe UI Emoji" w:eastAsia="Segoe UI Emoji" w:hAnsi="Segoe UI Emoji"/>
          <w:sz w:val="96"/>
          <w:szCs w:val="96"/>
        </w:rPr>
        <w:t xml:space="preserve">🏥</w:t>
      </w:r>
    </w:p>
    <w:p>
      <w:pPr>
        <w:shd w:fill="1F4E79" w:val="clear"/>
        <w:spacing w:after="160" w:before="160"/>
        <w:jc w:val="center"/>
      </w:pPr>
      <w:r>
        <w:rPr>
          <w:rFonts w:ascii="Arial" w:cs="Arial" w:eastAsia="Arial" w:hAnsi="Arial"/>
          <w:b/>
          <w:bCs/>
          <w:color w:val="FFFFFF"/>
          <w:sz w:val="52"/>
          <w:szCs w:val="52"/>
        </w:rPr>
        <w:t xml:space="preserve">INSURANCE POD</w:t>
      </w:r>
    </w:p>
    <w:p>
      <w:pPr>
        <w:spacing w:after="80" w:before="120"/>
        <w:jc w:val="center"/>
      </w:pPr>
      <w:r>
        <w:rPr>
          <w:rFonts w:ascii="Arial" w:cs="Arial" w:eastAsia="Arial" w:hAnsi="Arial"/>
          <w:b/>
          <w:bCs/>
          <w:color w:val="2E75B6"/>
          <w:sz w:val="32"/>
          <w:szCs w:val="32"/>
        </w:rPr>
        <w:t xml:space="preserve">Databricks POC — Project Documentation</w:t>
      </w:r>
    </w:p>
    <w:p>
      <w:pPr>
        <w:spacing w:after="400" w:before="80"/>
        <w:jc w:val="center"/>
      </w:pPr>
      <w:r>
        <w:rPr>
          <w:rFonts w:ascii="Arial" w:cs="Arial" w:eastAsia="Arial" w:hAnsi="Arial"/>
          <w:i/>
          <w:iCs/>
          <w:color w:val="666666"/>
          <w:sz w:val="22"/>
          <w:szCs w:val="22"/>
        </w:rPr>
        <w:t xml:space="preserve">Challenges  •  Steps Followed  •  Business Findings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right"/>
            </w:pPr>
            <w:r>
              <w:rPr>
                <w:rFonts w:ascii="Arial" w:cs="Arial" w:eastAsia="Arial" w:hAnsi="Arial"/>
                <w:b/>
                <w:bCs/>
                <w:color w:val="1F4E79"/>
                <w:sz w:val="18"/>
                <w:szCs w:val="18"/>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Azure Databricks (Serverless)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right"/>
            </w:pPr>
            <w:r>
              <w:rPr>
                <w:rFonts w:ascii="Arial" w:cs="Arial" w:eastAsia="Arial" w:hAnsi="Arial"/>
                <w:b/>
                <w:bCs/>
                <w:color w:val="1F4E79"/>
                <w:sz w:val="18"/>
                <w:szCs w:val="18"/>
              </w:rPr>
              <w:t xml:space="preserve">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Azure ADLS Gen2 — insurancepocadls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right"/>
            </w:pPr>
            <w:r>
              <w:rPr>
                <w:rFonts w:ascii="Arial" w:cs="Arial" w:eastAsia="Arial" w:hAnsi="Arial"/>
                <w:b/>
                <w:bCs/>
                <w:color w:val="1F4E79"/>
                <w:sz w:val="18"/>
                <w:szCs w:val="18"/>
              </w:rPr>
              <w:t xml:space="preserve">Git Repo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GitHub — insurance-poc-databricks (Private)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right"/>
            </w:pPr>
            <w:r>
              <w:rPr>
                <w:rFonts w:ascii="Arial" w:cs="Arial" w:eastAsia="Arial" w:hAnsi="Arial"/>
                <w:b/>
                <w:bCs/>
                <w:color w:val="1F4E79"/>
                <w:sz w:val="18"/>
                <w:szCs w:val="18"/>
              </w:rPr>
              <w:t xml:space="preserve">Architecture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Medallion: Bronze → Silver → Gold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right"/>
            </w:pPr>
            <w:r>
              <w:rPr>
                <w:rFonts w:ascii="Arial" w:cs="Arial" w:eastAsia="Arial" w:hAnsi="Arial"/>
                <w:b/>
                <w:bCs/>
                <w:color w:val="1F4E79"/>
                <w:sz w:val="18"/>
                <w:szCs w:val="18"/>
              </w:rPr>
              <w:t xml:space="preserve">Status</w:t>
            </w:r>
          </w:p>
        </w:tc>
        <w:tc>
          <w:tcPr>
            <w:tcW w:type="dxa" w:w="3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375623"/>
                <w:sz w:val="18"/>
                <w:szCs w:val="18"/>
              </w:rPr>
              <w:t xml:space="preserve">✅ POC Complete</w:t>
            </w:r>
          </w:p>
        </w:tc>
      </w:tr>
    </w:tbl>
    <w:p>
      <w:pPr>
        <w:spacing w:after="0" w:before="200"/>
      </w:pPr>
      <w:r>
        <w:t xml:space="preserve"/>
      </w:r>
    </w:p>
    <w:p>
      <w:pPr>
        <w:jc w:val="center"/>
      </w:pPr>
      <w:r>
        <w:rPr>
          <w:rFonts w:ascii="Arial" w:cs="Arial" w:eastAsia="Arial" w:hAnsi="Arial"/>
          <w:i/>
          <w:iCs/>
          <w:color w:val="C00000"/>
          <w:sz w:val="16"/>
          <w:szCs w:val="16"/>
        </w:rPr>
        <w:t xml:space="preserve">⚠️  DRAFT — FOR HUMAN REVIEW ONLY. Not reviewed by Fulcrum Legal, IT security, compliance, or clinical professionals.</w:t>
      </w:r>
    </w:p>
    <w:p>
      <w:pPr>
        <w:jc w:val="center"/>
      </w:pPr>
      <w:r>
        <w:rPr>
          <w:rFonts w:ascii="Arial" w:cs="Arial" w:eastAsia="Arial" w:hAnsi="Arial"/>
          <w:i/>
          <w:iCs/>
          <w:color w:val="C00000"/>
          <w:sz w:val="16"/>
          <w:szCs w:val="16"/>
        </w:rPr>
        <w:t xml:space="preserve">If in doubt please reach out to CISO@fulcrumdigital.com</w:t>
      </w:r>
    </w:p>
    <w:p>
      <w:r>
        <w:br w:type="page"/>
      </w:r>
    </w:p>
    <w:p>
      <w:pPr>
        <w:pStyle w:val="Heading1"/>
        <w:shd w:fill="1F4E79" w:val="clear"/>
        <w:spacing w:after="160" w:before="320"/>
        <w:ind w:left="160" w:right="160"/>
      </w:pPr>
      <w:r>
        <w:rPr>
          <w:rFonts w:ascii="Arial" w:cs="Arial" w:eastAsia="Arial" w:hAnsi="Arial"/>
          <w:b/>
          <w:bCs/>
          <w:color w:val="FFFFFF"/>
          <w:sz w:val="32"/>
          <w:szCs w:val="32"/>
        </w:rPr>
        <w:t xml:space="preserve">1.  Project Overview</w:t>
      </w:r>
    </w:p>
    <w:p>
      <w:pPr>
        <w:spacing w:after="0" w:before="120"/>
      </w:pPr>
      <w:r>
        <w:t xml:space="preserve"/>
      </w:r>
    </w:p>
    <w:p>
      <w:pPr>
        <w:spacing w:after="80" w:before="80"/>
      </w:pPr>
      <w:r>
        <w:rPr>
          <w:rFonts w:ascii="Arial" w:cs="Arial" w:eastAsia="Arial" w:hAnsi="Arial"/>
          <w:sz w:val="20"/>
          <w:szCs w:val="20"/>
        </w:rPr>
        <w:t xml:space="preserve">This document describes the end-to-end journey of building the Insurance POD data pipeline on Azure Databricks. It covers the technical challenges encountered, how each was resolved, every step followed, and the final business findings from the data.</w:t>
      </w:r>
    </w:p>
    <w:p>
      <w:pPr>
        <w:spacing w:after="0" w:before="80"/>
      </w:pPr>
      <w:r>
        <w:t xml:space="preserve"/>
      </w:r>
    </w:p>
    <w:p>
      <w:pPr>
        <w:spacing w:after="80" w:before="200"/>
      </w:pPr>
      <w:r>
        <w:rPr>
          <w:rFonts w:ascii="Arial" w:cs="Arial" w:eastAsia="Arial" w:hAnsi="Arial"/>
          <w:b/>
          <w:bCs/>
          <w:color w:val="1F4E79"/>
          <w:sz w:val="22"/>
          <w:szCs w:val="22"/>
        </w:rPr>
        <w:t xml:space="preserve">1.1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Records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Columns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Fields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F4E79"/>
                <w:sz w:val="18"/>
                <w:szCs w:val="18"/>
              </w:rPr>
              <w:t xml:space="preserve">customers_500.csv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customer_id, date_of_birth, premium_tier, join_date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F4E79"/>
                <w:sz w:val="18"/>
                <w:szCs w:val="18"/>
              </w:rPr>
              <w:t xml:space="preserve">policies_500.csv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policy_id, policy_type, sum_insured, premium_amount, end_date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F4E79"/>
                <w:sz w:val="18"/>
                <w:szCs w:val="18"/>
              </w:rPr>
              <w:t xml:space="preserve">claims_500.csv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claim_id, claim_amount, approved_amount, status, diagnosis_code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F4E79"/>
                <w:sz w:val="18"/>
                <w:szCs w:val="18"/>
              </w:rPr>
              <w:t xml:space="preserve">providers_150.csv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provider_id, provider_type, empanelled, rating, avg_claim_amount</w:t>
            </w:r>
          </w:p>
        </w:tc>
      </w:tr>
    </w:tbl>
    <w:p>
      <w:pPr>
        <w:spacing w:after="0" w:before="160"/>
      </w:pPr>
      <w:r>
        <w:t xml:space="preserve"/>
      </w:r>
    </w:p>
    <w:p>
      <w:pPr>
        <w:spacing w:after="80" w:before="200"/>
      </w:pPr>
      <w:r>
        <w:rPr>
          <w:rFonts w:ascii="Arial" w:cs="Arial" w:eastAsia="Arial" w:hAnsi="Arial"/>
          <w:b/>
          <w:bCs/>
          <w:color w:val="1F4E79"/>
          <w:sz w:val="22"/>
          <w:szCs w:val="22"/>
        </w:rPr>
        <w:t xml:space="preserve">1.2  Architecture</w:t>
      </w:r>
    </w:p>
    <w:p>
      <w:pPr>
        <w:spacing w:after="80" w:before="80"/>
      </w:pPr>
      <w:r>
        <w:rPr>
          <w:rFonts w:ascii="Arial" w:cs="Arial" w:eastAsia="Arial" w:hAnsi="Arial"/>
          <w:sz w:val="20"/>
          <w:szCs w:val="20"/>
        </w:rPr>
        <w:t xml:space="preserve">We followed a Medallion Architecture — a best-practice pattern for data engineering on Databricks:</w:t>
      </w:r>
    </w:p>
    <w:p>
      <w:pPr>
        <w:spacing w:after="0" w:before="80"/>
      </w:pPr>
      <w:r>
        <w:t xml:space="preserve"/>
      </w:r>
    </w:p>
    <w:p>
      <w:pPr>
        <w:spacing w:after="80" w:before="80"/>
        <w:jc w:val="center"/>
      </w:pPr>
      <w:r>
        <w:rPr>
          <w:rFonts w:ascii="Arial Narrow" w:cs="Arial Narrow" w:eastAsia="Arial Narrow" w:hAnsi="Arial Narrow"/>
          <w:b/>
          <w:bCs/>
          <w:color w:val="2E75B6"/>
          <w:sz w:val="22"/>
          <w:szCs w:val="22"/>
        </w:rPr>
        <w:t xml:space="preserve">Raw CSV Files  →  Bronze Layer  →  Silver Layer  →  Gold Layer  →  Business Reports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000000"/>
          <w:sz w:val="20"/>
          <w:szCs w:val="20"/>
        </w:rPr>
        <w:t xml:space="preserve">Bronze Layer — Raw data ingested from ADLS as Delta tables (schema preserved)</w:t>
      </w:r>
    </w:p>
    <w:p>
      <w:pPr>
        <w:pStyle w:val="ListParagraph"/>
        <w:numPr>
          <w:ilvl w:val="0"/>
          <w:numId w:val="2"/>
        </w:numPr>
        <w:spacing w:after="60" w:before="60"/>
      </w:pPr>
      <w:r>
        <w:rPr>
          <w:rFonts w:ascii="Arial" w:cs="Arial" w:eastAsia="Arial" w:hAnsi="Arial"/>
          <w:b w:val="false"/>
          <w:bCs w:val="false"/>
          <w:color w:val="000000"/>
          <w:sz w:val="20"/>
          <w:szCs w:val="20"/>
        </w:rPr>
        <w:t xml:space="preserve">Silver Layer — Data cleaned, typed, and enriched with derived columns</w:t>
      </w:r>
    </w:p>
    <w:p>
      <w:pPr>
        <w:pStyle w:val="ListParagraph"/>
        <w:numPr>
          <w:ilvl w:val="0"/>
          <w:numId w:val="2"/>
        </w:numPr>
        <w:spacing w:after="60" w:before="60"/>
      </w:pPr>
      <w:r>
        <w:rPr>
          <w:rFonts w:ascii="Arial" w:cs="Arial" w:eastAsia="Arial" w:hAnsi="Arial"/>
          <w:b w:val="false"/>
          <w:bCs w:val="false"/>
          <w:color w:val="000000"/>
          <w:sz w:val="20"/>
          <w:szCs w:val="20"/>
        </w:rPr>
        <w:t xml:space="preserve">Gold Layer — Business-ready aggregated reports for analytics and decision making</w:t>
      </w:r>
    </w:p>
    <w:p>
      <w:r>
        <w:br w:type="page"/>
      </w:r>
    </w:p>
    <w:p>
      <w:pPr>
        <w:pStyle w:val="Heading1"/>
        <w:shd w:fill="1F4E79" w:val="clear"/>
        <w:spacing w:after="160" w:before="320"/>
        <w:ind w:left="160" w:right="160"/>
      </w:pPr>
      <w:r>
        <w:rPr>
          <w:rFonts w:ascii="Arial" w:cs="Arial" w:eastAsia="Arial" w:hAnsi="Arial"/>
          <w:b/>
          <w:bCs/>
          <w:color w:val="FFFFFF"/>
          <w:sz w:val="32"/>
          <w:szCs w:val="32"/>
        </w:rPr>
        <w:t xml:space="preserve">2.  Challenges Faced &amp; How We Resolved Them</w:t>
      </w:r>
    </w:p>
    <w:p>
      <w:pPr>
        <w:spacing w:after="0" w:before="120"/>
      </w:pPr>
      <w:r>
        <w:t xml:space="preserve"/>
      </w:r>
    </w:p>
    <w:p>
      <w:pPr>
        <w:spacing w:after="80" w:before="80"/>
      </w:pPr>
      <w:r>
        <w:rPr>
          <w:rFonts w:ascii="Arial" w:cs="Arial" w:eastAsia="Arial" w:hAnsi="Arial"/>
          <w:sz w:val="20"/>
          <w:szCs w:val="20"/>
        </w:rPr>
        <w:t xml:space="preserve">During setup and execution of the pipeline, we encountered several technical blockers. Each challenge is documented below with the exact error and the solution applied.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3060"/>
        <w:gridCol w:w="306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Challenge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Error Encountered</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How We Resolved It</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spark.conf.set() blocked on Serverless Compute</w:t>
            </w:r>
          </w:p>
        </w:tc>
        <w:tc>
          <w:tcPr>
            <w:tcW w:type="dxa" w:w="30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C00000"/>
                <w:sz w:val="18"/>
                <w:szCs w:val="18"/>
              </w:rPr>
              <w:t xml:space="preserve">SparkContext, SQLContext, and spark configuration APIs are not supported in serverless compute (SRVLS03)</w:t>
            </w:r>
          </w:p>
        </w:tc>
        <w:tc>
          <w:tcPr>
            <w:tcW w:type="dxa" w:w="30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75623"/>
                <w:sz w:val="18"/>
                <w:szCs w:val="18"/>
              </w:rPr>
              <w:t xml:space="preserve">Passed the storage account key directly as an .option() parameter inside every read/write command instead of setting it globally.</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Secret Scope Create button disabled</w:t>
            </w:r>
          </w:p>
        </w:tc>
        <w:tc>
          <w:tcPr>
            <w:tcW w:type="dxa" w:w="30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C00000"/>
                <w:sz w:val="18"/>
                <w:szCs w:val="18"/>
              </w:rPr>
              <w:t xml:space="preserve">Create button greyed out on the #secrets/createScope page — admin permissions required</w:t>
            </w:r>
          </w:p>
        </w:tc>
        <w:tc>
          <w:tcPr>
            <w:tcW w:type="dxa" w:w="30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75623"/>
                <w:sz w:val="18"/>
                <w:szCs w:val="18"/>
              </w:rPr>
              <w:t xml:space="preserve">Skipped Secret Scope for POC. Used storage account key directly in notebook code. Acceptable for POC — production would use a Service Principal.</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Cannot Create Schema on main catalog</w:t>
            </w:r>
          </w:p>
        </w:tc>
        <w:tc>
          <w:tcPr>
            <w:tcW w:type="dxa" w:w="30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C00000"/>
                <w:sz w:val="18"/>
                <w:szCs w:val="18"/>
              </w:rPr>
              <w:t xml:space="preserve">PERMISSION_DENIED: User does not have USE CATALOG on Catalog 'main'. SQLSTATE: 42501</w:t>
            </w:r>
          </w:p>
        </w:tc>
        <w:tc>
          <w:tcPr>
            <w:tcW w:type="dxa" w:w="30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75623"/>
                <w:sz w:val="18"/>
                <w:szCs w:val="18"/>
              </w:rPr>
              <w:t xml:space="preserve">Bypassed Unity Catalog schema creation entirely. Read and wrote Delta tables directly using abfss:// paths without registering in any metastore.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Mounting not supported on Databricks Serverless</w:t>
            </w:r>
          </w:p>
        </w:tc>
        <w:tc>
          <w:tcPr>
            <w:tcW w:type="dxa" w:w="30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C00000"/>
                <w:sz w:val="18"/>
                <w:szCs w:val="18"/>
              </w:rPr>
              <w:t xml:space="preserve">dbutils.fs.mount() is not available on Serverless compute</w:t>
            </w:r>
          </w:p>
        </w:tc>
        <w:tc>
          <w:tcPr>
            <w:tcW w:type="dxa" w:w="30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75623"/>
                <w:sz w:val="18"/>
                <w:szCs w:val="18"/>
              </w:rPr>
              <w:t xml:space="preserve">Used abfss:// direct path format for all ADLS access: abfss://container@insurancepocadls.dfs.core.windows.net/path</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No CREATE SCHEMA permissions on any Unity Catalog catalog</w:t>
            </w:r>
          </w:p>
        </w:tc>
        <w:tc>
          <w:tcPr>
            <w:tcW w:type="dxa" w:w="30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C00000"/>
                <w:sz w:val="18"/>
                <w:szCs w:val="18"/>
              </w:rPr>
              <w:t xml:space="preserve">Unauthorized access on main, unable to create schemas via UI or SQL</w:t>
            </w:r>
          </w:p>
        </w:tc>
        <w:tc>
          <w:tcPr>
            <w:tcW w:type="dxa" w:w="30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75623"/>
                <w:sz w:val="18"/>
                <w:szCs w:val="18"/>
              </w:rPr>
              <w:t xml:space="preserve">Read Silver Delta tables directly from ADLS paths instead of registering tables. All Gold outputs written directly to abfss:// Gold container paths.</w:t>
            </w:r>
          </w:p>
        </w:tc>
      </w:tr>
    </w:tbl>
    <w:p>
      <w:pPr>
        <w:spacing w:after="0" w:before="200"/>
      </w:pPr>
      <w:r>
        <w:t xml:space="preserve"/>
      </w:r>
    </w:p>
    <w:p>
      <w:pPr>
        <w:shd w:fill="D6E4F0" w:val="clear"/>
        <w:spacing w:after="120" w:before="120"/>
        <w:ind w:left="200" w:right="200"/>
      </w:pPr>
      <w:r>
        <w:rPr>
          <w:rFonts w:ascii="Arial" w:cs="Arial" w:eastAsia="Arial" w:hAnsi="Arial"/>
          <w:i/>
          <w:iCs/>
          <w:color w:val="1F4E79"/>
          <w:sz w:val="19"/>
          <w:szCs w:val="19"/>
        </w:rPr>
        <w:t xml:space="preserve">💡  Key Learning: For Databricks Serverless compute, always pass authentication credentials as per-operation .option() parameters rather than global Spark configurations. This is the correct pattern for serverless environments.</w:t>
      </w:r>
    </w:p>
    <w:p>
      <w:r>
        <w:br w:type="page"/>
      </w:r>
    </w:p>
    <w:p>
      <w:pPr>
        <w:pStyle w:val="Heading1"/>
        <w:shd w:fill="1F4E79" w:val="clear"/>
        <w:spacing w:after="160" w:before="320"/>
        <w:ind w:left="160" w:right="160"/>
      </w:pPr>
      <w:r>
        <w:rPr>
          <w:rFonts w:ascii="Arial" w:cs="Arial" w:eastAsia="Arial" w:hAnsi="Arial"/>
          <w:b/>
          <w:bCs/>
          <w:color w:val="FFFFFF"/>
          <w:sz w:val="32"/>
          <w:szCs w:val="32"/>
        </w:rPr>
        <w:t xml:space="preserve">3.  Steps Followed — End to End</w:t>
      </w:r>
    </w:p>
    <w:p>
      <w:pPr>
        <w:spacing w:after="0" w:before="120"/>
      </w:pPr>
      <w:r>
        <w:t xml:space="preserve"/>
      </w:r>
    </w:p>
    <w:p>
      <w:pPr>
        <w:pStyle w:val="Heading2"/>
        <w:pBdr>
          <w:bottom w:val="single" w:color="2E75B6" w:sz="4"/>
        </w:pBdr>
        <w:spacing w:after="120" w:before="280"/>
      </w:pPr>
      <w:r>
        <w:rPr>
          <w:rFonts w:ascii="Arial" w:cs="Arial" w:eastAsia="Arial" w:hAnsi="Arial"/>
          <w:b/>
          <w:bCs/>
          <w:color w:val="2E75B6"/>
          <w:sz w:val="26"/>
          <w:szCs w:val="26"/>
        </w:rPr>
        <w:t xml:space="preserve">Phase 1 —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4500"/>
        <w:gridCol w:w="162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Step</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Detail</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Git Repository Created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GitHub private repo: Fwin01970/insurance-poc-databricks with folders: insurance/, shared/</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ADLS Storage Account Created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Storage account: insurancepocadls | Containers created: bronze, silver, gold</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3</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CSV Files Uploaded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4 CSV files uploaded to bronze container via Azure Portal</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4</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Databricks Workspace Launched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Launched Azure Databricks from Azure portal. Serverless compute selected.</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5</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GitHub PAT Created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Personal Access Token generated on GitHub with repo scope for Databricks integration</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6</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Git Credentials Linked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Databricks Settings → Linked Accounts → Git credentials added for GitHub</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7</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Repo Cloned into Workspace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GitHub repo cloned into Databricks via Workspace → Repos → Add Repo</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bl>
    <w:p>
      <w:pPr>
        <w:spacing w:after="0" w:before="200"/>
      </w:pPr>
      <w:r>
        <w:t xml:space="preserve"/>
      </w:r>
    </w:p>
    <w:p>
      <w:pPr>
        <w:pStyle w:val="Heading2"/>
        <w:pBdr>
          <w:bottom w:val="single" w:color="2E75B6" w:sz="4"/>
        </w:pBdr>
        <w:spacing w:after="120" w:before="280"/>
      </w:pPr>
      <w:r>
        <w:rPr>
          <w:rFonts w:ascii="Arial" w:cs="Arial" w:eastAsia="Arial" w:hAnsi="Arial"/>
          <w:b/>
          <w:bCs/>
          <w:color w:val="2E75B6"/>
          <w:sz w:val="26"/>
          <w:szCs w:val="26"/>
        </w:rPr>
        <w:t xml:space="preserve">Phase 2 — ADLS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4500"/>
        <w:gridCol w:w="162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Step</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Detail</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8</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Notebook Created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Created notebook 00_config_and_test in Databricks Workspace with Python language</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9</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ADLS Connection Tested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Used spark.read with .option() to pass storage account key — bypasses serverless restriction</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10</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All 4 CSVs Read Successfully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Confirmed row counts: customers 500, policies 500, claims 500, providers 150</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bl>
    <w:p>
      <w:pPr>
        <w:spacing w:after="0" w:before="200"/>
      </w:pPr>
      <w:r>
        <w:t xml:space="preserve"/>
      </w:r>
    </w:p>
    <w:p>
      <w:pPr>
        <w:pStyle w:val="Heading2"/>
        <w:pBdr>
          <w:bottom w:val="single" w:color="2E75B6" w:sz="4"/>
        </w:pBdr>
        <w:spacing w:after="120" w:before="280"/>
      </w:pPr>
      <w:r>
        <w:rPr>
          <w:rFonts w:ascii="Arial" w:cs="Arial" w:eastAsia="Arial" w:hAnsi="Arial"/>
          <w:b/>
          <w:bCs/>
          <w:color w:val="2E75B6"/>
          <w:sz w:val="26"/>
          <w:szCs w:val="26"/>
        </w:rPr>
        <w:t xml:space="preserve">Phase 3 — Bronze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4500"/>
        <w:gridCol w:w="162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Step</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Detail</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11</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Wrote Raw Delta Tables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All 4 CSVs written as Delta format to silver container using .write.format('delta')</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12</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Storage Key Passed in Write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Used .option() in write command to authenticate — same approach as reads</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bl>
    <w:p>
      <w:pPr>
        <w:spacing w:after="0" w:before="200"/>
      </w:pPr>
      <w:r>
        <w:t xml:space="preserve"/>
      </w:r>
    </w:p>
    <w:p>
      <w:pPr>
        <w:pStyle w:val="Heading2"/>
        <w:pBdr>
          <w:bottom w:val="single" w:color="2E75B6" w:sz="4"/>
        </w:pBdr>
        <w:spacing w:after="120" w:before="280"/>
      </w:pPr>
      <w:r>
        <w:rPr>
          <w:rFonts w:ascii="Arial" w:cs="Arial" w:eastAsia="Arial" w:hAnsi="Arial"/>
          <w:b/>
          <w:bCs/>
          <w:color w:val="2E75B6"/>
          <w:sz w:val="26"/>
          <w:szCs w:val="26"/>
        </w:rPr>
        <w:t xml:space="preserve">Phase 4 — Silver Layer (Data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4500"/>
        <w:gridCol w:w="162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Step</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Detail</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13</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Cleaned Customers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Cast dates, calculated age_years, tenure_days, added age_band (Under 18 / 18-29 / 30-44 / 45-59 / 60+)</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14</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Cleaned Policies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Cast dates, calculated days_to_expiry, is_expired flag, renewal_urgency (Critical/High/Medium/Low/Expired)</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15</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Cleaned Claims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Cast amounts to double, calculated approval_rate %, rejected_amount, added high_risk_flag</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16</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Cleaned Providers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Cast numeric columns, converted empanelled Yes/No to flag, added rating_band (Excellent/Good/Average/Poor)</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17</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Saved All Silver Tables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All 4 cleaned tables written as Delta to silver container with _cleaned suffix</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bl>
    <w:p>
      <w:pPr>
        <w:spacing w:after="0" w:before="200"/>
      </w:pPr>
      <w:r>
        <w:t xml:space="preserve"/>
      </w:r>
    </w:p>
    <w:p>
      <w:pPr>
        <w:pStyle w:val="Heading2"/>
        <w:pBdr>
          <w:bottom w:val="single" w:color="2E75B6" w:sz="4"/>
        </w:pBdr>
        <w:spacing w:after="120" w:before="280"/>
      </w:pPr>
      <w:r>
        <w:rPr>
          <w:rFonts w:ascii="Arial" w:cs="Arial" w:eastAsia="Arial" w:hAnsi="Arial"/>
          <w:b/>
          <w:bCs/>
          <w:color w:val="2E75B6"/>
          <w:sz w:val="26"/>
          <w:szCs w:val="26"/>
        </w:rPr>
        <w:t xml:space="preserve">Phase 5 — Gold Layer (Business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4500"/>
        <w:gridCol w:w="162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Step</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Detail</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18</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Built Customer 360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Joined customers + policies + claims. Added churn_risk (High/Medium/Low) per customer</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19</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Built Fraud Signals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Detected 4 fraud signals: High Value Under Investigation, Non-Empanelled Provider, Multiple Claims in 30 Days, Very Low Approval Rate</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20</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Built Policy Renewal Risk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Calculated loss ratio per policy, profitability band, and action_needed for each policy (Call Immediately / Reprice / Winback etc.)</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21</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Saved All Gold Tables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customer_360, fraud_signals, policy_renewal_risk written as Delta to gold container</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bl>
    <w:p>
      <w:pPr>
        <w:spacing w:after="0" w:before="200"/>
      </w:pPr>
      <w:r>
        <w:t xml:space="preserve"/>
      </w:r>
    </w:p>
    <w:p>
      <w:pPr>
        <w:pStyle w:val="Heading2"/>
        <w:pBdr>
          <w:bottom w:val="single" w:color="2E75B6" w:sz="4"/>
        </w:pBdr>
        <w:spacing w:after="120" w:before="280"/>
      </w:pPr>
      <w:r>
        <w:rPr>
          <w:rFonts w:ascii="Arial" w:cs="Arial" w:eastAsia="Arial" w:hAnsi="Arial"/>
          <w:b/>
          <w:bCs/>
          <w:color w:val="2E75B6"/>
          <w:sz w:val="26"/>
          <w:szCs w:val="26"/>
        </w:rPr>
        <w:t xml:space="preserve">Phase 6 — Git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4500"/>
        <w:gridCol w:w="162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Step</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Detail</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22</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Notebook Cloned into Repo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Used Workspace Clone to copy notebook into /Repos/.../insurance-poc-databricks/insurance/</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23</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Committed &amp; Pushed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Used Databricks Git panel to commit with message and push to GitHub main branch</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24</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8"/>
                <w:szCs w:val="18"/>
              </w:rPr>
              <w:t xml:space="preserve">Verified on GitHub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Confirmed notebook appeared in GitHub repo under insurance/ folder</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Done</w:t>
            </w:r>
          </w:p>
        </w:tc>
      </w:tr>
    </w:tbl>
    <w:p>
      <w:r>
        <w:br w:type="page"/>
      </w:r>
    </w:p>
    <w:p>
      <w:pPr>
        <w:pStyle w:val="Heading1"/>
        <w:shd w:fill="1F4E79" w:val="clear"/>
        <w:spacing w:after="160" w:before="320"/>
        <w:ind w:left="160" w:right="160"/>
      </w:pPr>
      <w:r>
        <w:rPr>
          <w:rFonts w:ascii="Arial" w:cs="Arial" w:eastAsia="Arial" w:hAnsi="Arial"/>
          <w:b/>
          <w:bCs/>
          <w:color w:val="FFFFFF"/>
          <w:sz w:val="32"/>
          <w:szCs w:val="32"/>
        </w:rPr>
        <w:t xml:space="preserve">4.  Business Findings from the Data</w:t>
      </w:r>
    </w:p>
    <w:p>
      <w:pPr>
        <w:spacing w:after="0" w:before="120"/>
      </w:pPr>
      <w:r>
        <w:t xml:space="preserve"/>
      </w:r>
    </w:p>
    <w:p>
      <w:pPr>
        <w:spacing w:after="80" w:before="80"/>
      </w:pPr>
      <w:r>
        <w:rPr>
          <w:rFonts w:ascii="Arial" w:cs="Arial" w:eastAsia="Arial" w:hAnsi="Arial"/>
          <w:sz w:val="20"/>
          <w:szCs w:val="20"/>
        </w:rPr>
        <w:t xml:space="preserve">The Gold layer analysis of 500 customers, 500 policies, 500 claims, and 150 providers revealed the following key insights: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1800"/>
        <w:gridCol w:w="4080"/>
      </w:tblGrid>
      <w:tr>
        <w:tc>
          <w:tcPr>
            <w:tcW w:type="dxa" w:w="4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Finding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Count</w:t>
            </w:r>
          </w:p>
        </w:tc>
        <w:tc>
          <w:tcPr>
            <w:tcW w:type="dxa" w:w="4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Business Impact</w:t>
            </w:r>
          </w:p>
        </w:tc>
      </w:tr>
      <w:tr>
        <w:tc>
          <w:tcPr>
            <w:tcW w:type="dxa" w:w="4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Critical Fraud Signals Detected</w:t>
            </w:r>
          </w:p>
        </w:tc>
        <w:tc>
          <w:tcPr>
            <w:tcW w:type="dxa" w:w="1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174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Immediate investigation required. High value claims under investigation with low approval rates.</w:t>
            </w:r>
          </w:p>
        </w:tc>
      </w:tr>
      <w:tr>
        <w:tc>
          <w:tcPr>
            <w:tcW w:type="dxa" w:w="4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000000"/>
                <w:sz w:val="18"/>
                <w:szCs w:val="18"/>
              </w:rPr>
              <w:t xml:space="preserve">Total Fraud Signals (All Types)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448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89% of claims have at least one fraud signal — signals overlap across claim types.</w:t>
            </w:r>
          </w:p>
        </w:tc>
      </w:tr>
      <w:tr>
        <w:tc>
          <w:tcPr>
            <w:tcW w:type="dxa" w:w="4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000000"/>
                <w:sz w:val="18"/>
                <w:szCs w:val="18"/>
              </w:rPr>
              <w:t xml:space="preserve">Loss Making Policies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191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Company paying out more than premium collected. Repricing or tighter underwriting required.</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Expired / Lapsed Policies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361 / 500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72% of portfolio has lapsed. Significant revenue recovery opportunity through winback campaigns.</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Critical Renewals (expiring in 30 days)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Immediate outreach required to prevent further lapsing.</w:t>
            </w:r>
          </w:p>
        </w:tc>
      </w:tr>
      <w:tr>
        <w:tc>
          <w:tcPr>
            <w:tcW w:type="dxa" w:w="48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000000"/>
                <w:sz w:val="18"/>
                <w:szCs w:val="18"/>
              </w:rPr>
              <w:t xml:space="preserve">High Churn Risk Customers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Customers with critical renewals AND claim rejections. Priority retention action needed.</w:t>
            </w:r>
          </w:p>
        </w:tc>
      </w:tr>
      <w:tr>
        <w:tc>
          <w:tcPr>
            <w:tcW w:type="dxa" w:w="4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Profitable Customers Identified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via Customer 360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Low churn, active policies, no high risk claims — ideal candidates for cross-sell.</w:t>
            </w:r>
          </w:p>
        </w:tc>
      </w:tr>
    </w:tbl>
    <w:p>
      <w:pPr>
        <w:spacing w:after="0" w:before="200"/>
      </w:pPr>
      <w:r>
        <w:t xml:space="preserve"/>
      </w:r>
    </w:p>
    <w:p>
      <w:pPr>
        <w:spacing w:after="80" w:before="200"/>
      </w:pPr>
      <w:r>
        <w:rPr>
          <w:rFonts w:ascii="Arial" w:cs="Arial" w:eastAsia="Arial" w:hAnsi="Arial"/>
          <w:b/>
          <w:bCs/>
          <w:color w:val="2E75B6"/>
          <w:sz w:val="22"/>
          <w:szCs w:val="22"/>
        </w:rPr>
        <w:t xml:space="preserve">4.1  Fraud Signal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Signal 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Claims Flagged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C00000"/>
                <w:sz w:val="18"/>
                <w:szCs w:val="18"/>
              </w:rPr>
              <w:t xml:space="preserve">High Value Under Investigation</w:t>
            </w:r>
          </w:p>
        </w:tc>
        <w:tc>
          <w:tcPr>
            <w:tcW w:type="dxa" w:w="21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63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Claims &gt;₹1.5L with status Under Investigation</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C55A11"/>
                <w:sz w:val="18"/>
                <w:szCs w:val="18"/>
              </w:rPr>
              <w:t xml:space="preserve">Non-Empanelled Provider</w:t>
            </w:r>
          </w:p>
        </w:tc>
        <w:tc>
          <w:tcPr>
            <w:tcW w:type="dxa" w:w="21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Claims filed at hospitals/clinics not on approved panel</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C55A11"/>
                <w:sz w:val="18"/>
                <w:szCs w:val="18"/>
              </w:rPr>
              <w:t xml:space="preserve">Multiple Claims Within 30 Days</w:t>
            </w:r>
          </w:p>
        </w:tc>
        <w:tc>
          <w:tcPr>
            <w:tcW w:type="dxa" w:w="21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Same customer filed another claim within 30 days of previous</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C55A11"/>
                <w:sz w:val="18"/>
                <w:szCs w:val="18"/>
              </w:rPr>
              <w:t xml:space="preserve">Very Low Approval Rate on High Claim</w:t>
            </w:r>
          </w:p>
        </w:tc>
        <w:tc>
          <w:tcPr>
            <w:tcW w:type="dxa" w:w="21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Less than 20% of claim approved on amounts &gt;₹1L</w:t>
            </w:r>
          </w:p>
        </w:tc>
      </w:tr>
    </w:tbl>
    <w:p>
      <w:r>
        <w:br w:type="page"/>
      </w:r>
    </w:p>
    <w:p>
      <w:pPr>
        <w:pStyle w:val="Heading1"/>
        <w:shd w:fill="1F4E79" w:val="clear"/>
        <w:spacing w:after="160" w:before="320"/>
        <w:ind w:left="160" w:right="160"/>
      </w:pPr>
      <w:r>
        <w:rPr>
          <w:rFonts w:ascii="Arial" w:cs="Arial" w:eastAsia="Arial" w:hAnsi="Arial"/>
          <w:b/>
          <w:bCs/>
          <w:color w:val="FFFFFF"/>
          <w:sz w:val="32"/>
          <w:szCs w:val="32"/>
        </w:rPr>
        <w:t xml:space="preserve">5.  Final Storage Layout on Azure ADLS</w:t>
      </w:r>
    </w:p>
    <w:p>
      <w:pPr>
        <w:spacing w:after="0" w:before="120"/>
      </w:pPr>
      <w:r>
        <w:t xml:space="preserve"/>
      </w:r>
    </w:p>
    <w:p>
      <w:pPr>
        <w:spacing w:after="80" w:before="80"/>
      </w:pPr>
      <w:r>
        <w:rPr>
          <w:rFonts w:ascii="Arial" w:cs="Arial" w:eastAsia="Arial" w:hAnsi="Arial"/>
          <w:sz w:val="20"/>
          <w:szCs w:val="20"/>
        </w:rPr>
        <w:t xml:space="preserve">All data is stored on Azure Data Lake Storage Gen2 account insurancepocadls across three containers: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Container</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Path / Table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8"/>
                <w:szCs w:val="18"/>
              </w:rPr>
              <w:t xml:space="preserve">bronze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customers_500.csv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Original raw CSV file as uploaded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8"/>
                <w:szCs w:val="18"/>
              </w:rPr>
              <w:t xml:space="preserve">bronze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policies_500.csv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Original raw CSV file as uploaded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8"/>
                <w:szCs w:val="18"/>
              </w:rPr>
              <w:t xml:space="preserve">bronze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claims_500.csv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Original raw CSV file as uploaded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8"/>
                <w:szCs w:val="18"/>
              </w:rPr>
              <w:t xml:space="preserve">bronze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providers_150.csv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Original raw CSV file as uploaded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555555"/>
                <w:sz w:val="18"/>
                <w:szCs w:val="18"/>
              </w:rPr>
              <w:t xml:space="preserve">silver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delta/customers_cleaned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Cleaned: dates cast, age_years, tenure_days, age_band added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555555"/>
                <w:sz w:val="18"/>
                <w:szCs w:val="18"/>
              </w:rPr>
              <w:t xml:space="preserve">silver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delta/policies_cleaned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Cleaned: dates cast, days_to_expiry, renewal_urgency, is_expired added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555555"/>
                <w:sz w:val="18"/>
                <w:szCs w:val="18"/>
              </w:rPr>
              <w:t xml:space="preserve">silver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delta/claims_cleaned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Cleaned: amounts cast, approval_rate, rejected_amount, high_risk_flag added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555555"/>
                <w:sz w:val="18"/>
                <w:szCs w:val="18"/>
              </w:rPr>
              <w:t xml:space="preserve">silver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delta/providers_cleaned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Cleaned: is_empanelled boolean, rating_band added</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gold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delta/customer_360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500 customer profiles with policy summary, claims summary, churn_risk</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gold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delta/fraud_signals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448 suspicious claims across 4 fraud signal types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gold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delta/policy_renewal_risk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500 policies with loss_ratio, profitability, action_needed</w:t>
            </w:r>
          </w:p>
        </w:tc>
      </w:tr>
    </w:tbl>
    <w:p>
      <w:r>
        <w:br w:type="page"/>
      </w:r>
    </w:p>
    <w:p>
      <w:pPr>
        <w:pStyle w:val="Heading1"/>
        <w:shd w:fill="1F4E79" w:val="clear"/>
        <w:spacing w:after="160" w:before="320"/>
        <w:ind w:left="160" w:right="160"/>
      </w:pPr>
      <w:r>
        <w:rPr>
          <w:rFonts w:ascii="Arial" w:cs="Arial" w:eastAsia="Arial" w:hAnsi="Arial"/>
          <w:b/>
          <w:bCs/>
          <w:color w:val="FFFFFF"/>
          <w:sz w:val="32"/>
          <w:szCs w:val="32"/>
        </w:rPr>
        <w:t xml:space="preserve">6.  Recommended Next Steps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4500"/>
        <w:gridCol w:w="162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Priority</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Next Step</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Effort</w:t>
            </w:r>
          </w:p>
        </w:tc>
      </w:tr>
      <w:tr>
        <w:tc>
          <w:tcPr>
            <w:tcW w:type="dxa" w:w="54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Organise Notebooks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Split single notebook into separate Bronze, Silver, Gold notebooks. Push all to GitHub repo with proper folder structure.</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Low</w:t>
            </w:r>
          </w:p>
        </w:tc>
      </w:tr>
      <w:tr>
        <w:tc>
          <w:tcPr>
            <w:tcW w:type="dxa" w:w="54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Provider Scorecard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Build Gold report showing fraud rate, approval rate, and risk tier per hospital/clinic.</w:t>
            </w:r>
          </w:p>
        </w:tc>
        <w:tc>
          <w:tcPr>
            <w:tcW w:type="dxa" w:w="16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Low</w:t>
            </w:r>
          </w:p>
        </w:tc>
      </w:tr>
      <w:tr>
        <w:tc>
          <w:tcPr>
            <w:tcW w:type="dxa" w:w="5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Service Principal Auth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Replace storage account key with Azure Service Principal (OAuth) for production-grade authentication.</w:t>
            </w:r>
          </w:p>
        </w:tc>
        <w:tc>
          <w:tcPr>
            <w:tcW w:type="dxa" w:w="162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Medium</w:t>
            </w:r>
          </w:p>
        </w:tc>
      </w:tr>
      <w:tr>
        <w:tc>
          <w:tcPr>
            <w:tcW w:type="dxa" w:w="5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Schedule Pipeline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Use Databricks Workflows to schedule the pipeline to run automatically (daily/weekly).</w:t>
            </w:r>
          </w:p>
        </w:tc>
        <w:tc>
          <w:tcPr>
            <w:tcW w:type="dxa" w:w="162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Medium</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8"/>
                <w:szCs w:val="18"/>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Power BI Dashboard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8"/>
                <w:szCs w:val="18"/>
              </w:rPr>
              <w:t xml:space="preserve">Connect Power BI to Gold Delta tables on ADLS. Build visual dashboards for Customer 360, Fraud, and Renewal reports.</w:t>
            </w:r>
          </w:p>
        </w:tc>
        <w:tc>
          <w:tcPr>
            <w:tcW w:type="dxa" w:w="16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8"/>
                <w:szCs w:val="18"/>
              </w:rPr>
              <w:t xml:space="preserve">High</w:t>
            </w:r>
          </w:p>
        </w:tc>
      </w:tr>
    </w:tbl>
    <w:p>
      <w:pPr>
        <w:spacing w:after="0" w:before="300"/>
      </w:pPr>
      <w:r>
        <w:t xml:space="preserve"/>
      </w:r>
    </w:p>
    <w:p>
      <w:pPr>
        <w:shd w:fill="1F4E79" w:val="clear"/>
        <w:spacing w:after="160" w:before="160"/>
        <w:jc w:val="center"/>
      </w:pPr>
      <w:r>
        <w:rPr>
          <w:rFonts w:ascii="Arial" w:cs="Arial" w:eastAsia="Arial" w:hAnsi="Arial"/>
          <w:b/>
          <w:bCs/>
          <w:color w:val="FFFFFF"/>
          <w:sz w:val="26"/>
          <w:szCs w:val="26"/>
        </w:rPr>
        <w:t xml:space="preserve">Pipeline Complete — Insurance POD POC ✅</w:t>
      </w:r>
    </w:p>
    <w:p>
      <w:pPr>
        <w:spacing w:after="0" w:before="120"/>
      </w:pPr>
      <w:r>
        <w:t xml:space="preserve"/>
      </w:r>
    </w:p>
    <w:p>
      <w:pPr>
        <w:jc w:val="center"/>
      </w:pPr>
      <w:r>
        <w:rPr>
          <w:rFonts w:ascii="Arial" w:cs="Arial" w:eastAsia="Arial" w:hAnsi="Arial"/>
          <w:i/>
          <w:iCs/>
          <w:color w:val="888888"/>
          <w:sz w:val="16"/>
          <w:szCs w:val="16"/>
        </w:rPr>
        <w:t xml:space="preserve">AI-generated. Validate with a qualified professional.  |  CISO@fulcrumdigital.com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888888"/>
        <w:sz w:val="16"/>
        <w:szCs w:val="16"/>
      </w:rPr>
      <w:t xml:space="preserve">DRAFT — AI-generated. Validate with a qualified professional.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b/>
        <w:bCs/>
        <w:color w:val="2E75B6"/>
        <w:sz w:val="18"/>
        <w:szCs w:val="18"/>
      </w:rPr>
      <w:t xml:space="preserve">Insurance POD — Databricks POC</w:t>
    </w:r>
    <w:r>
      <w:rPr>
        <w:rFonts w:ascii="Arial" w:cs="Arial" w:eastAsia="Arial" w:hAnsi="Arial"/>
        <w:color w:val="888888"/>
        <w:sz w:val="18"/>
        <w:szCs w:val="18"/>
      </w:rPr>
      <w:t xml:space="preserve">    |    Project Documentation    |    Fulcrum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2026-05-20T12:28:43.298Z</dcterms:created>
  <dcterms:modified xsi:type="dcterms:W3CDTF">2026-05-20T12:28:43.298Z</dcterms:modified>
</cp:coreProperties>
</file>

<file path=docProps/custom.xml><?xml version="1.0" encoding="utf-8"?>
<Properties xmlns="http://schemas.openxmlformats.org/officeDocument/2006/custom-properties" xmlns:vt="http://schemas.openxmlformats.org/officeDocument/2006/docPropsVTypes"/>
</file>