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6BB301" w14:textId="77777777" w:rsidR="003103D5" w:rsidRDefault="003103D5">
      <w:pPr>
        <w:spacing w:after="400"/>
      </w:pPr>
    </w:p>
    <w:p w14:paraId="3DBED766" w14:textId="5C7E24B8" w:rsidR="003103D5" w:rsidRDefault="00890BC3">
      <w:pPr>
        <w:jc w:val="center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537D15" wp14:editId="63B626D2">
                <wp:simplePos x="0" y="0"/>
                <wp:positionH relativeFrom="column">
                  <wp:posOffset>2390775</wp:posOffset>
                </wp:positionH>
                <wp:positionV relativeFrom="paragraph">
                  <wp:posOffset>2114550</wp:posOffset>
                </wp:positionV>
                <wp:extent cx="1133475" cy="533400"/>
                <wp:effectExtent l="0" t="0" r="28575" b="19050"/>
                <wp:wrapNone/>
                <wp:docPr id="10912570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739FD" id="Rectángulo 2" o:spid="_x0000_s1026" style="position:absolute;margin-left:188.25pt;margin-top:166.5pt;width:89.2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" fillcolor="white [3212]" strokecolor="white [3212]" strokeweight="1.5pt"/>
            </w:pict>
          </mc:Fallback>
        </mc:AlternateContent>
      </w:r>
      <w:r>
        <w:rPr>
          <w:noProof/>
          <w:lang w:val="es-ES" w:eastAsia="es-ES"/>
        </w:rPr>
        <w:drawing>
          <wp:inline distT="0" distB="0" distL="0" distR="0" wp14:anchorId="33ACEAD4" wp14:editId="2FF13A64">
            <wp:extent cx="3465830" cy="3465830"/>
            <wp:effectExtent l="0" t="0" r="127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521" cy="347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3A12" w14:textId="77777777" w:rsidR="003103D5" w:rsidRDefault="00C17BD1">
      <w:pPr>
        <w:spacing w:before="300"/>
        <w:jc w:val="center"/>
      </w:pPr>
      <w:proofErr w:type="spellStart"/>
      <w:r>
        <w:rPr>
          <w:rFonts w:ascii="Arial" w:eastAsia="Arial" w:hAnsi="Arial" w:cs="Arial"/>
          <w:b/>
          <w:bCs/>
          <w:color w:val="1069C5"/>
          <w:sz w:val="44"/>
          <w:szCs w:val="44"/>
        </w:rPr>
        <w:t>Routify</w:t>
      </w:r>
      <w:proofErr w:type="spellEnd"/>
    </w:p>
    <w:p w14:paraId="6972B275" w14:textId="622C7009" w:rsidR="003103D5" w:rsidRDefault="00D210CA">
      <w:pPr>
        <w:spacing w:before="100" w:after="600"/>
        <w:jc w:val="center"/>
      </w:pPr>
      <w:r>
        <w:rPr>
          <w:rFonts w:ascii="Arial" w:eastAsia="Arial" w:hAnsi="Arial" w:cs="Arial"/>
          <w:i/>
          <w:iCs/>
          <w:color w:val="2086DB"/>
          <w:sz w:val="26"/>
          <w:szCs w:val="26"/>
        </w:rPr>
        <w:t>Rutas claras, entregas seguras.</w:t>
      </w:r>
    </w:p>
    <w:p w14:paraId="70351E40" w14:textId="77777777" w:rsidR="003103D5" w:rsidRDefault="003103D5">
      <w:pPr>
        <w:spacing w:before="1600"/>
      </w:pPr>
    </w:p>
    <w:p w14:paraId="40D65EBB" w14:textId="77777777" w:rsidR="003103D5" w:rsidRDefault="00C17BD1">
      <w:pPr>
        <w:jc w:val="center"/>
      </w:pPr>
      <w:r>
        <w:rPr>
          <w:rFonts w:ascii="Arial" w:eastAsia="Arial" w:hAnsi="Arial" w:cs="Arial"/>
          <w:color w:val="222222"/>
          <w:sz w:val="22"/>
          <w:szCs w:val="22"/>
        </w:rPr>
        <w:t>Integrantes: Lara Caron, Ignacio Fernandez y Facundo Flores</w:t>
      </w:r>
    </w:p>
    <w:p w14:paraId="7AFD11E8" w14:textId="77777777" w:rsidR="003103D5" w:rsidRDefault="00C17BD1">
      <w:pPr>
        <w:spacing w:before="100"/>
        <w:jc w:val="center"/>
      </w:pPr>
      <w:r>
        <w:rPr>
          <w:rFonts w:ascii="Arial" w:eastAsia="Arial" w:hAnsi="Arial" w:cs="Arial"/>
          <w:color w:val="222222"/>
          <w:sz w:val="22"/>
          <w:szCs w:val="22"/>
        </w:rPr>
        <w:t>Proyecto escolar de desarrollo de software</w:t>
      </w:r>
    </w:p>
    <w:p w14:paraId="59A4F9A6" w14:textId="77777777" w:rsidR="003103D5" w:rsidRDefault="00C17BD1">
      <w:r>
        <w:br w:type="page"/>
      </w:r>
    </w:p>
    <w:p w14:paraId="290A45A0" w14:textId="77777777" w:rsidR="003103D5" w:rsidRDefault="003103D5">
      <w:pPr>
        <w:sectPr w:rsidR="003103D5" w:rsidSect="00E7649B">
          <w:footerReference w:type="default" r:id="rId9"/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</w:p>
    <w:p w14:paraId="0A1DC952" w14:textId="77777777" w:rsidR="003103D5" w:rsidRDefault="00C17BD1">
      <w:pPr>
        <w:spacing w:after="300"/>
      </w:pPr>
      <w:r>
        <w:rPr>
          <w:rFonts w:ascii="Arial" w:eastAsia="Arial" w:hAnsi="Arial" w:cs="Arial"/>
          <w:b/>
          <w:bCs/>
          <w:color w:val="1069C5"/>
          <w:sz w:val="32"/>
          <w:szCs w:val="32"/>
        </w:rPr>
        <w:lastRenderedPageBreak/>
        <w:t>Índice</w:t>
      </w:r>
    </w:p>
    <w:p w14:paraId="33C0F920" w14:textId="77777777" w:rsidR="003103D5" w:rsidRDefault="00C17BD1">
      <w:pPr>
        <w:spacing w:after="10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1. Introducción</w:t>
      </w:r>
    </w:p>
    <w:p w14:paraId="0D220C28" w14:textId="77777777" w:rsidR="003103D5" w:rsidRDefault="00C17BD1">
      <w:pPr>
        <w:spacing w:after="100"/>
        <w:ind w:left="576"/>
      </w:pPr>
      <w:r>
        <w:rPr>
          <w:rFonts w:ascii="Arial" w:eastAsia="Arial" w:hAnsi="Arial" w:cs="Arial"/>
          <w:color w:val="222222"/>
          <w:sz w:val="22"/>
          <w:szCs w:val="22"/>
        </w:rPr>
        <w:t>1.1. Presentación general del proyecto</w:t>
      </w:r>
    </w:p>
    <w:p w14:paraId="6E39119A" w14:textId="77777777" w:rsidR="003103D5" w:rsidRDefault="00C17BD1">
      <w:pPr>
        <w:spacing w:after="100"/>
        <w:ind w:left="576"/>
      </w:pPr>
      <w:r>
        <w:rPr>
          <w:rFonts w:ascii="Arial" w:eastAsia="Arial" w:hAnsi="Arial" w:cs="Arial"/>
          <w:color w:val="222222"/>
          <w:sz w:val="22"/>
          <w:szCs w:val="22"/>
        </w:rPr>
        <w:t>1.2. Contexto y problema</w:t>
      </w:r>
    </w:p>
    <w:p w14:paraId="1E652E31" w14:textId="77777777" w:rsidR="003103D5" w:rsidRDefault="00C17BD1">
      <w:pPr>
        <w:spacing w:after="100"/>
        <w:ind w:left="576"/>
      </w:pPr>
      <w:r>
        <w:rPr>
          <w:rFonts w:ascii="Arial" w:eastAsia="Arial" w:hAnsi="Arial" w:cs="Arial"/>
          <w:color w:val="222222"/>
          <w:sz w:val="22"/>
          <w:szCs w:val="22"/>
        </w:rPr>
        <w:t>1.3. Objetivos</w:t>
      </w:r>
    </w:p>
    <w:p w14:paraId="2AA9E159" w14:textId="77777777" w:rsidR="003103D5" w:rsidRDefault="00C17BD1">
      <w:pPr>
        <w:spacing w:after="10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2. Arquitectura general</w:t>
      </w:r>
    </w:p>
    <w:p w14:paraId="5236DB1D" w14:textId="77777777" w:rsidR="003103D5" w:rsidRDefault="00C17BD1">
      <w:pPr>
        <w:spacing w:after="10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3. Aspectos técnicos</w:t>
      </w:r>
    </w:p>
    <w:p w14:paraId="1D80C1D4" w14:textId="77777777" w:rsidR="003103D5" w:rsidRDefault="00C17BD1">
      <w:pPr>
        <w:spacing w:after="100"/>
        <w:ind w:left="576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3.1.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— Tecnologías utilizadas</w:t>
      </w:r>
    </w:p>
    <w:p w14:paraId="6F9890C5" w14:textId="77777777" w:rsidR="003103D5" w:rsidRDefault="00C17BD1">
      <w:pPr>
        <w:spacing w:after="100"/>
        <w:ind w:left="576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3.2.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— Qué se hizo</w:t>
      </w:r>
    </w:p>
    <w:p w14:paraId="4AF6BC98" w14:textId="77777777" w:rsidR="003103D5" w:rsidRDefault="00C17BD1">
      <w:pPr>
        <w:spacing w:after="100"/>
        <w:ind w:left="576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3.3. Estructura de cada proyecto del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backend</w:t>
      </w:r>
      <w:proofErr w:type="spellEnd"/>
    </w:p>
    <w:p w14:paraId="76ADE3C3" w14:textId="77777777" w:rsidR="003103D5" w:rsidRDefault="00C17BD1">
      <w:pPr>
        <w:spacing w:after="100"/>
        <w:ind w:left="576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3.4.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— Tecnologías utilizadas</w:t>
      </w:r>
    </w:p>
    <w:p w14:paraId="0807BA29" w14:textId="77777777" w:rsidR="003103D5" w:rsidRDefault="00C17BD1">
      <w:pPr>
        <w:spacing w:after="100"/>
        <w:ind w:left="576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3.5.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— Qué se hizo</w:t>
      </w:r>
    </w:p>
    <w:p w14:paraId="2B7D765C" w14:textId="77777777" w:rsidR="003103D5" w:rsidRDefault="00C17BD1">
      <w:pPr>
        <w:spacing w:after="100"/>
        <w:ind w:left="576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3.6. Estructura del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frontend</w:t>
      </w:r>
      <w:proofErr w:type="spellEnd"/>
    </w:p>
    <w:p w14:paraId="07327B7F" w14:textId="77777777" w:rsidR="003103D5" w:rsidRDefault="00C17BD1">
      <w:pPr>
        <w:spacing w:after="10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4. Organización del trabajo</w:t>
      </w:r>
    </w:p>
    <w:p w14:paraId="36B862F8" w14:textId="77777777" w:rsidR="003103D5" w:rsidRDefault="00C17BD1">
      <w:pPr>
        <w:spacing w:after="100"/>
        <w:ind w:left="576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4.1. Convención de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commits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en GitHub</w:t>
      </w:r>
    </w:p>
    <w:p w14:paraId="5AB9A7E6" w14:textId="77777777" w:rsidR="003103D5" w:rsidRDefault="00C17BD1">
      <w:pPr>
        <w:spacing w:after="10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5. Diseño visual de la aplicación</w:t>
      </w:r>
    </w:p>
    <w:p w14:paraId="1F6AFA4C" w14:textId="77777777" w:rsidR="003103D5" w:rsidRDefault="00C17BD1">
      <w:pPr>
        <w:spacing w:after="10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6. Conclusión</w:t>
      </w:r>
    </w:p>
    <w:p w14:paraId="661103FB" w14:textId="77777777" w:rsidR="003103D5" w:rsidRDefault="00C17BD1">
      <w:r>
        <w:br w:type="page"/>
      </w:r>
    </w:p>
    <w:p w14:paraId="35D2B43D" w14:textId="77777777" w:rsidR="003103D5" w:rsidRDefault="003103D5">
      <w:pPr>
        <w:sectPr w:rsidR="003103D5" w:rsidSect="00E7649B">
          <w:headerReference w:type="default" r:id="rId10"/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</w:p>
    <w:p w14:paraId="6F594BE5" w14:textId="77777777" w:rsidR="003103D5" w:rsidRDefault="00C17BD1">
      <w:pPr>
        <w:pStyle w:val="Ttulo1"/>
        <w:pBdr>
          <w:bottom w:val="single" w:sz="6" w:space="4" w:color="1069C5"/>
        </w:pBdr>
        <w:spacing w:before="420" w:after="200"/>
      </w:pPr>
      <w:r>
        <w:rPr>
          <w:rFonts w:ascii="Arial" w:eastAsia="Arial" w:hAnsi="Arial" w:cs="Arial"/>
          <w:b/>
          <w:bCs/>
          <w:color w:val="1069C5"/>
          <w:sz w:val="30"/>
          <w:szCs w:val="30"/>
        </w:rPr>
        <w:lastRenderedPageBreak/>
        <w:t>1. Introducción</w:t>
      </w:r>
    </w:p>
    <w:p w14:paraId="4FC171D3" w14:textId="77777777" w:rsidR="003103D5" w:rsidRDefault="00C17BD1">
      <w:pPr>
        <w:pStyle w:val="Ttulo2"/>
        <w:spacing w:before="260" w:after="120"/>
      </w:pPr>
      <w:r>
        <w:rPr>
          <w:rFonts w:ascii="Arial" w:eastAsia="Arial" w:hAnsi="Arial" w:cs="Arial"/>
          <w:b/>
          <w:bCs/>
          <w:color w:val="2086DB"/>
          <w:sz w:val="24"/>
          <w:szCs w:val="24"/>
        </w:rPr>
        <w:t>1.1. Presentación general del proyecto</w:t>
      </w:r>
    </w:p>
    <w:p w14:paraId="4B387934" w14:textId="77777777" w:rsidR="003103D5" w:rsidRDefault="00C17BD1">
      <w:pPr>
        <w:spacing w:after="200" w:line="300" w:lineRule="auto"/>
        <w:ind w:firstLine="720"/>
        <w:jc w:val="both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es un sistema de gestión logística construido con una arquitectura de microservicios: en vez de un único programa monolítico, se divide en servicios independientes que se comunican entre sí a través de un API Gateway. Esto permite que cada parte evolucione, se despliegue y se escale por separado, sin que un cambio en un módulo obligue a tocar el resto de la aplicación.</w:t>
      </w:r>
    </w:p>
    <w:p w14:paraId="508E99A7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El sistema está compuesto por un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multiplataforma (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Routify.App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>), un punto de entrada único (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Routify.Gateway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>) y dos servicios de negocio (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Routify.Auth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Routify.Logistica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>), cada uno con su propia base de datos en PostgreSQL.</w:t>
      </w:r>
    </w:p>
    <w:p w14:paraId="09A98CBD" w14:textId="77777777" w:rsidR="003103D5" w:rsidRDefault="00C17BD1">
      <w:pPr>
        <w:pStyle w:val="Ttulo2"/>
        <w:spacing w:before="260" w:after="120"/>
      </w:pPr>
      <w:r>
        <w:rPr>
          <w:rFonts w:ascii="Arial" w:eastAsia="Arial" w:hAnsi="Arial" w:cs="Arial"/>
          <w:b/>
          <w:bCs/>
          <w:color w:val="2086DB"/>
          <w:sz w:val="24"/>
          <w:szCs w:val="24"/>
        </w:rPr>
        <w:t>1.2. Contexto y problema</w:t>
      </w:r>
    </w:p>
    <w:p w14:paraId="4888E5CF" w14:textId="46C5365A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>Este proyecto parte de un caso real: una empresa de logística</w:t>
      </w:r>
      <w:r w:rsidR="00D210CA"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que hasta ahora </w:t>
      </w:r>
      <w:r w:rsidR="00D210CA">
        <w:rPr>
          <w:rFonts w:ascii="Arial" w:eastAsia="Arial" w:hAnsi="Arial" w:cs="Arial"/>
          <w:color w:val="222222"/>
          <w:sz w:val="22"/>
          <w:szCs w:val="22"/>
        </w:rPr>
        <w:t>utilizaba un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 sistema de gestión viejo</w:t>
      </w:r>
      <w:r w:rsidR="00D210CA">
        <w:rPr>
          <w:rFonts w:ascii="Arial" w:eastAsia="Arial" w:hAnsi="Arial" w:cs="Arial"/>
          <w:color w:val="222222"/>
          <w:sz w:val="22"/>
          <w:szCs w:val="22"/>
        </w:rPr>
        <w:t>,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 rígido</w:t>
      </w:r>
      <w:r w:rsidR="00D210CA">
        <w:rPr>
          <w:rFonts w:ascii="Arial" w:eastAsia="Arial" w:hAnsi="Arial" w:cs="Arial"/>
          <w:color w:val="222222"/>
          <w:sz w:val="22"/>
          <w:szCs w:val="22"/>
        </w:rPr>
        <w:t xml:space="preserve"> y </w:t>
      </w:r>
      <w:r>
        <w:rPr>
          <w:rFonts w:ascii="Arial" w:eastAsia="Arial" w:hAnsi="Arial" w:cs="Arial"/>
          <w:color w:val="222222"/>
          <w:sz w:val="22"/>
          <w:szCs w:val="22"/>
        </w:rPr>
        <w:t>complicado de mantener</w:t>
      </w:r>
      <w:r w:rsidR="00D210CA">
        <w:rPr>
          <w:rFonts w:ascii="Arial" w:eastAsia="Arial" w:hAnsi="Arial" w:cs="Arial"/>
          <w:color w:val="222222"/>
          <w:sz w:val="22"/>
          <w:szCs w:val="22"/>
        </w:rPr>
        <w:t>.</w:t>
      </w:r>
    </w:p>
    <w:p w14:paraId="46E5040D" w14:textId="0D5AD202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>Ante ese escenario,</w:t>
      </w:r>
      <w:r w:rsidR="00D210CA"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se decidió construir una aplicación nueva desde cero, pensada específicamente para las operaciones de esta empresa: gestión de clientes, pedidos, envíos, vehículos y pagos, con un acceso seguro y una interfaz que funcione tanto en escritorio como en dispositivos móviles.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es el resultado de ese trabajo.</w:t>
      </w:r>
    </w:p>
    <w:p w14:paraId="5AD935FF" w14:textId="77777777" w:rsidR="003103D5" w:rsidRDefault="00C17BD1">
      <w:pPr>
        <w:pStyle w:val="Ttulo2"/>
        <w:spacing w:before="260" w:after="120"/>
      </w:pPr>
      <w:r>
        <w:rPr>
          <w:rFonts w:ascii="Arial" w:eastAsia="Arial" w:hAnsi="Arial" w:cs="Arial"/>
          <w:b/>
          <w:bCs/>
          <w:color w:val="2086DB"/>
          <w:sz w:val="24"/>
          <w:szCs w:val="24"/>
        </w:rPr>
        <w:t>1.3. Objetivos</w:t>
      </w:r>
    </w:p>
    <w:p w14:paraId="59F95838" w14:textId="77777777" w:rsidR="003103D5" w:rsidRDefault="00C17BD1">
      <w:pPr>
        <w:spacing w:before="120" w:after="80"/>
      </w:pPr>
      <w:r>
        <w:rPr>
          <w:rFonts w:ascii="Arial" w:eastAsia="Arial" w:hAnsi="Arial" w:cs="Arial"/>
          <w:b/>
          <w:bCs/>
          <w:i/>
          <w:iCs/>
          <w:color w:val="222222"/>
          <w:sz w:val="22"/>
          <w:szCs w:val="22"/>
        </w:rPr>
        <w:t>Objetivo general</w:t>
      </w:r>
    </w:p>
    <w:p w14:paraId="4DBA3B5A" w14:textId="77777777" w:rsidR="003103D5" w:rsidRDefault="00C17BD1">
      <w:pPr>
        <w:spacing w:after="100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>Diseñar y desarrollar una plataforma de gestión logística moderna que reemplace el sistema rígido actual de la empresa, cubriendo sus operaciones centrales bajo una arquitectura escalable y segura.</w:t>
      </w:r>
    </w:p>
    <w:p w14:paraId="7C83D1D2" w14:textId="77777777" w:rsidR="003103D5" w:rsidRDefault="00C17BD1">
      <w:pPr>
        <w:spacing w:before="120" w:after="80"/>
      </w:pPr>
      <w:r>
        <w:rPr>
          <w:rFonts w:ascii="Arial" w:eastAsia="Arial" w:hAnsi="Arial" w:cs="Arial"/>
          <w:b/>
          <w:bCs/>
          <w:i/>
          <w:iCs/>
          <w:color w:val="222222"/>
          <w:sz w:val="22"/>
          <w:szCs w:val="22"/>
        </w:rPr>
        <w:t>Objetivos específicos</w:t>
      </w:r>
    </w:p>
    <w:p w14:paraId="6815553B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Diseñar una arquitectura de microservicios desacoplada, con un API Gateway como único punto de entrada al sistema.</w:t>
      </w:r>
    </w:p>
    <w:p w14:paraId="1573A0A9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Modelar el dominio completo del negocio (clientes, direcciones, pedidos, paquetes, envíos, vehículos y pagos) sobre una base de datos relacional en PostgreSQL.</w:t>
      </w:r>
    </w:p>
    <w:p w14:paraId="0FE74046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Implementar un sistema de autenticación seguro basado en JWT, con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hashing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de contraseñas.</w:t>
      </w:r>
    </w:p>
    <w:p w14:paraId="35997ED8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Construir una interfaz multiplataforma, que funcione tanto en escritorio como en dispositivos móviles, consumiendo la API a través del Gateway.</w:t>
      </w:r>
    </w:p>
    <w:p w14:paraId="5CA3EDE6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Cubrir con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endpoints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REST y validaciones de negocio la gestión completa de cada entidad del sistema.</w:t>
      </w:r>
    </w:p>
    <w:p w14:paraId="17EA6AB2" w14:textId="77777777" w:rsidR="003103D5" w:rsidRDefault="00C17BD1">
      <w:pPr>
        <w:pStyle w:val="Ttulo1"/>
        <w:pBdr>
          <w:bottom w:val="single" w:sz="6" w:space="4" w:color="1069C5"/>
        </w:pBdr>
        <w:spacing w:before="420" w:after="200"/>
      </w:pPr>
      <w:r>
        <w:rPr>
          <w:rFonts w:ascii="Arial" w:eastAsia="Arial" w:hAnsi="Arial" w:cs="Arial"/>
          <w:b/>
          <w:bCs/>
          <w:color w:val="1069C5"/>
          <w:sz w:val="30"/>
          <w:szCs w:val="30"/>
        </w:rPr>
        <w:lastRenderedPageBreak/>
        <w:t>2. Arquitectura general</w:t>
      </w:r>
    </w:p>
    <w:p w14:paraId="170BF5D9" w14:textId="77777777" w:rsidR="003103D5" w:rsidRDefault="00C17BD1">
      <w:pPr>
        <w:spacing w:before="100" w:after="100"/>
        <w:jc w:val="center"/>
      </w:pPr>
      <w:r>
        <w:rPr>
          <w:noProof/>
          <w:lang w:val="es-ES" w:eastAsia="es-ES"/>
        </w:rPr>
        <w:drawing>
          <wp:inline distT="0" distB="0" distL="0" distR="0" wp14:anchorId="68630580" wp14:editId="39D6EACC">
            <wp:extent cx="3810000" cy="2686050"/>
            <wp:effectExtent l="0" t="0" r="0" b="0"/>
            <wp:docPr id="1329005240" name="Imagen 1329005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4EBD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Como se ve en el esquema, ningún cliente habla directo con Auth o con Logística: todo pasa primero por el Gateway, que arma con YARP y decide a qué servicio reenviar cada petición según 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path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de la URL. Esto desacopla al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de tener que saber dónde vive cada servicio, y deja la puerta abierta para escalar o mover cada microservicio de forma independiente en el futuro.</w:t>
      </w:r>
    </w:p>
    <w:p w14:paraId="6B507862" w14:textId="77777777" w:rsidR="003103D5" w:rsidRDefault="00C17BD1">
      <w:pPr>
        <w:pStyle w:val="Ttulo1"/>
        <w:pBdr>
          <w:bottom w:val="single" w:sz="6" w:space="4" w:color="1069C5"/>
        </w:pBdr>
        <w:spacing w:before="420" w:after="200"/>
      </w:pPr>
      <w:r>
        <w:rPr>
          <w:rFonts w:ascii="Arial" w:eastAsia="Arial" w:hAnsi="Arial" w:cs="Arial"/>
          <w:b/>
          <w:bCs/>
          <w:color w:val="1069C5"/>
          <w:sz w:val="30"/>
          <w:szCs w:val="30"/>
        </w:rPr>
        <w:t>3. Aspectos técnicos</w:t>
      </w:r>
    </w:p>
    <w:p w14:paraId="09272BA2" w14:textId="77777777" w:rsidR="003103D5" w:rsidRDefault="00C17BD1">
      <w:pPr>
        <w:pStyle w:val="Ttulo2"/>
        <w:spacing w:before="260" w:after="120"/>
      </w:pPr>
      <w:r>
        <w:rPr>
          <w:rFonts w:ascii="Arial" w:eastAsia="Arial" w:hAnsi="Arial" w:cs="Arial"/>
          <w:b/>
          <w:bCs/>
          <w:color w:val="2086DB"/>
          <w:sz w:val="24"/>
          <w:szCs w:val="24"/>
        </w:rPr>
        <w:t xml:space="preserve">3.1. </w:t>
      </w:r>
      <w:proofErr w:type="spellStart"/>
      <w:r>
        <w:rPr>
          <w:rFonts w:ascii="Arial" w:eastAsia="Arial" w:hAnsi="Arial" w:cs="Arial"/>
          <w:b/>
          <w:bCs/>
          <w:color w:val="2086DB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b/>
          <w:bCs/>
          <w:color w:val="2086DB"/>
          <w:sz w:val="24"/>
          <w:szCs w:val="24"/>
        </w:rPr>
        <w:t xml:space="preserve"> — Tecnologías utilizadas</w:t>
      </w:r>
    </w:p>
    <w:p w14:paraId="3EC1AC36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.NET 10 / C# — lenguaje y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framework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base de todos los microservicios</w:t>
      </w:r>
    </w:p>
    <w:p w14:paraId="26F85C99" w14:textId="77777777" w:rsidR="003103D5" w:rsidRPr="00D210CA" w:rsidRDefault="00C17BD1">
      <w:pPr>
        <w:pStyle w:val="Prrafodelista"/>
        <w:numPr>
          <w:ilvl w:val="0"/>
          <w:numId w:val="2"/>
        </w:numPr>
        <w:spacing w:after="120"/>
        <w:rPr>
          <w:lang w:val="en-US"/>
        </w:rPr>
      </w:pPr>
      <w:r w:rsidRPr="00D210CA">
        <w:rPr>
          <w:rFonts w:ascii="Arial" w:eastAsia="Arial" w:hAnsi="Arial" w:cs="Arial"/>
          <w:color w:val="222222"/>
          <w:sz w:val="22"/>
          <w:szCs w:val="22"/>
          <w:lang w:val="en-US"/>
        </w:rPr>
        <w:t xml:space="preserve">ASP.NET Core Web API — para </w:t>
      </w:r>
      <w:proofErr w:type="spellStart"/>
      <w:r w:rsidRPr="00D210CA">
        <w:rPr>
          <w:rFonts w:ascii="Arial" w:eastAsia="Arial" w:hAnsi="Arial" w:cs="Arial"/>
          <w:color w:val="222222"/>
          <w:sz w:val="22"/>
          <w:szCs w:val="22"/>
          <w:lang w:val="en-US"/>
        </w:rPr>
        <w:t>exponer</w:t>
      </w:r>
      <w:proofErr w:type="spellEnd"/>
      <w:r w:rsidRPr="00D210CA">
        <w:rPr>
          <w:rFonts w:ascii="Arial" w:eastAsia="Arial" w:hAnsi="Arial" w:cs="Arial"/>
          <w:color w:val="222222"/>
          <w:sz w:val="22"/>
          <w:szCs w:val="22"/>
          <w:lang w:val="en-US"/>
        </w:rPr>
        <w:t xml:space="preserve"> </w:t>
      </w:r>
      <w:proofErr w:type="spellStart"/>
      <w:r w:rsidRPr="00D210CA">
        <w:rPr>
          <w:rFonts w:ascii="Arial" w:eastAsia="Arial" w:hAnsi="Arial" w:cs="Arial"/>
          <w:color w:val="222222"/>
          <w:sz w:val="22"/>
          <w:szCs w:val="22"/>
          <w:lang w:val="en-US"/>
        </w:rPr>
        <w:t>los</w:t>
      </w:r>
      <w:proofErr w:type="spellEnd"/>
      <w:r w:rsidRPr="00D210CA">
        <w:rPr>
          <w:rFonts w:ascii="Arial" w:eastAsia="Arial" w:hAnsi="Arial" w:cs="Arial"/>
          <w:color w:val="222222"/>
          <w:sz w:val="22"/>
          <w:szCs w:val="22"/>
          <w:lang w:val="en-US"/>
        </w:rPr>
        <w:t xml:space="preserve"> endpoints REST</w:t>
      </w:r>
    </w:p>
    <w:p w14:paraId="21053047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Entity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Framework Core 10 — ORM para el mapeo objeto-relacional</w:t>
      </w:r>
    </w:p>
    <w:p w14:paraId="5F19CD56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Npgsql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— proveedor de EF Core para PostgreSQL</w:t>
      </w:r>
    </w:p>
    <w:p w14:paraId="7BE74942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PostgreSQL 16 — motor de base de datos</w:t>
      </w:r>
    </w:p>
    <w:p w14:paraId="72F27431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EFCore.NamingConventions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— convención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snake_case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en tablas y columnas de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Postgres</w:t>
      </w:r>
      <w:proofErr w:type="spellEnd"/>
    </w:p>
    <w:p w14:paraId="5A606885" w14:textId="77777777" w:rsidR="003103D5" w:rsidRPr="00D210CA" w:rsidRDefault="00C17BD1">
      <w:pPr>
        <w:pStyle w:val="Prrafodelista"/>
        <w:numPr>
          <w:ilvl w:val="0"/>
          <w:numId w:val="2"/>
        </w:numPr>
        <w:spacing w:after="120"/>
        <w:rPr>
          <w:lang w:val="en-US"/>
        </w:rPr>
      </w:pPr>
      <w:r w:rsidRPr="00D210CA">
        <w:rPr>
          <w:rFonts w:ascii="Arial" w:eastAsia="Arial" w:hAnsi="Arial" w:cs="Arial"/>
          <w:color w:val="222222"/>
          <w:sz w:val="22"/>
          <w:szCs w:val="22"/>
          <w:lang w:val="en-US"/>
        </w:rPr>
        <w:t xml:space="preserve">JWT </w:t>
      </w:r>
      <w:proofErr w:type="spellStart"/>
      <w:r w:rsidRPr="00D210CA">
        <w:rPr>
          <w:rFonts w:ascii="Arial" w:eastAsia="Arial" w:hAnsi="Arial" w:cs="Arial"/>
          <w:color w:val="222222"/>
          <w:sz w:val="22"/>
          <w:szCs w:val="22"/>
          <w:lang w:val="en-US"/>
        </w:rPr>
        <w:t>vía</w:t>
      </w:r>
      <w:proofErr w:type="spellEnd"/>
      <w:r w:rsidRPr="00D210CA">
        <w:rPr>
          <w:rFonts w:ascii="Arial" w:eastAsia="Arial" w:hAnsi="Arial" w:cs="Arial"/>
          <w:color w:val="222222"/>
          <w:sz w:val="22"/>
          <w:szCs w:val="22"/>
          <w:lang w:val="en-US"/>
        </w:rPr>
        <w:t xml:space="preserve"> </w:t>
      </w:r>
      <w:proofErr w:type="spellStart"/>
      <w:proofErr w:type="gramStart"/>
      <w:r w:rsidRPr="00D210CA">
        <w:rPr>
          <w:rFonts w:ascii="Arial" w:eastAsia="Arial" w:hAnsi="Arial" w:cs="Arial"/>
          <w:color w:val="222222"/>
          <w:sz w:val="22"/>
          <w:szCs w:val="22"/>
          <w:lang w:val="en-US"/>
        </w:rPr>
        <w:t>Microsoft.AspNetCore.Authentication.JwtBearer</w:t>
      </w:r>
      <w:proofErr w:type="spellEnd"/>
      <w:proofErr w:type="gramEnd"/>
      <w:r w:rsidRPr="00D210CA">
        <w:rPr>
          <w:rFonts w:ascii="Arial" w:eastAsia="Arial" w:hAnsi="Arial" w:cs="Arial"/>
          <w:color w:val="222222"/>
          <w:sz w:val="22"/>
          <w:szCs w:val="22"/>
          <w:lang w:val="en-US"/>
        </w:rPr>
        <w:t xml:space="preserve"> — </w:t>
      </w:r>
      <w:proofErr w:type="spellStart"/>
      <w:r w:rsidRPr="00D210CA">
        <w:rPr>
          <w:rFonts w:ascii="Arial" w:eastAsia="Arial" w:hAnsi="Arial" w:cs="Arial"/>
          <w:color w:val="222222"/>
          <w:sz w:val="22"/>
          <w:szCs w:val="22"/>
          <w:lang w:val="en-US"/>
        </w:rPr>
        <w:t>autenticación</w:t>
      </w:r>
      <w:proofErr w:type="spellEnd"/>
      <w:r w:rsidRPr="00D210CA">
        <w:rPr>
          <w:rFonts w:ascii="Arial" w:eastAsia="Arial" w:hAnsi="Arial" w:cs="Arial"/>
          <w:color w:val="222222"/>
          <w:sz w:val="22"/>
          <w:szCs w:val="22"/>
          <w:lang w:val="en-US"/>
        </w:rPr>
        <w:t xml:space="preserve"> stateless</w:t>
      </w:r>
    </w:p>
    <w:p w14:paraId="3F96A5BC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BCrypt.Net-Next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hashing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seguro de contraseñas</w:t>
      </w:r>
    </w:p>
    <w:p w14:paraId="1160FAF6" w14:textId="77777777" w:rsidR="003103D5" w:rsidRPr="00D210CA" w:rsidRDefault="00C17BD1">
      <w:pPr>
        <w:pStyle w:val="Prrafodelista"/>
        <w:numPr>
          <w:ilvl w:val="0"/>
          <w:numId w:val="2"/>
        </w:numPr>
        <w:spacing w:after="120"/>
        <w:rPr>
          <w:lang w:val="en-US"/>
        </w:rPr>
      </w:pPr>
      <w:r w:rsidRPr="00D210CA">
        <w:rPr>
          <w:rFonts w:ascii="Arial" w:eastAsia="Arial" w:hAnsi="Arial" w:cs="Arial"/>
          <w:color w:val="222222"/>
          <w:sz w:val="22"/>
          <w:szCs w:val="22"/>
          <w:lang w:val="en-US"/>
        </w:rPr>
        <w:t>YARP (Yet Another Reverse Proxy) — API Gateway</w:t>
      </w:r>
    </w:p>
    <w:p w14:paraId="508864CA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Docker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Docker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Compose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— contenedores de las bases de datos</w:t>
      </w:r>
    </w:p>
    <w:p w14:paraId="1B8F86C8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OpenAPI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— documentación automática de cada API</w:t>
      </w:r>
    </w:p>
    <w:p w14:paraId="6C32619F" w14:textId="77777777" w:rsidR="003103D5" w:rsidRDefault="00C17BD1">
      <w:pPr>
        <w:pStyle w:val="Ttulo2"/>
        <w:spacing w:before="260" w:after="120"/>
      </w:pPr>
      <w:r>
        <w:rPr>
          <w:rFonts w:ascii="Arial" w:eastAsia="Arial" w:hAnsi="Arial" w:cs="Arial"/>
          <w:b/>
          <w:bCs/>
          <w:color w:val="2086DB"/>
          <w:sz w:val="24"/>
          <w:szCs w:val="24"/>
        </w:rPr>
        <w:t xml:space="preserve">3.2. </w:t>
      </w:r>
      <w:proofErr w:type="spellStart"/>
      <w:r>
        <w:rPr>
          <w:rFonts w:ascii="Arial" w:eastAsia="Arial" w:hAnsi="Arial" w:cs="Arial"/>
          <w:b/>
          <w:bCs/>
          <w:color w:val="2086DB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b/>
          <w:bCs/>
          <w:color w:val="2086DB"/>
          <w:sz w:val="24"/>
          <w:szCs w:val="24"/>
        </w:rPr>
        <w:t xml:space="preserve"> — Qué se hizo</w:t>
      </w:r>
    </w:p>
    <w:p w14:paraId="63D80F17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lastRenderedPageBreak/>
        <w:t xml:space="preserve">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se dividió en servicios independientes y desacoplados: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Routify.Auth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, que maneja la autenticación y los usuarios;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Routify.Logistica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, que concentra todo el negocio (clientes, pedidos, envíos, vehículos, pagos); y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Routify.Shared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, con los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DTOs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comunes entre servicios. Cada uno tiene su propia base de datos.</w:t>
      </w:r>
    </w:p>
    <w:p w14:paraId="72C7C8C8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Para el modelado de dominio se diseñaron nueve entidades (Usuario, Cliente, Dirección, Pedido, Paquete, Envío, Vehículo,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HistorialEstadoEnvio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>, Pago) con sus relaciones completas, incluyendo casos particulares como las dos claves foráneas de un Envío hacia Dirección (origen y destino) o las relaciones uno a uno entre Pedido-Envío y Pedido-Pago.</w:t>
      </w:r>
    </w:p>
    <w:p w14:paraId="756EA247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La persistencia se resolvió con migraciones de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Entity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Framework Core aplicadas contra PostgreSQL real, corriendo en contenedores Docker separados para cada microservicio.</w:t>
      </w:r>
    </w:p>
    <w:p w14:paraId="3054874A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En cuanto a seguridad, las contraseñas nunca se guardan en texto plano: se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hashean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con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BCrypt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, y al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loguearse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correctamente el sistema emite un JWT firmado con la información del usuario (rol, email, expiración), que se usa para autorizar el resto de las peticiones.</w:t>
      </w:r>
    </w:p>
    <w:p w14:paraId="35D6E159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El acceso a los microservicios se centralizó a través de YARP como API Gateway, que enruta automáticamente las peticiones hacia Auth o hacia Logística según 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path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solicitado, sin que 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necesite conocer las direcciones internas de cada servicio.</w:t>
      </w:r>
    </w:p>
    <w:p w14:paraId="0F8FE768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Por último, se expuso un CRUD completo (GET, POST, PUT, DELETE) para clientes, direcciones, pedidos, paquetes, envíos, vehículos, historial de estados y pagos, usando siempre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DTOs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en vez de exponer las entidades de dominio directamente, y aplicando validaciones de negocio como no permitir eliminar un cliente con pedidos asociados o verificar que un cliente exista antes de asignarle una dirección.</w:t>
      </w:r>
    </w:p>
    <w:p w14:paraId="1EAD2C9E" w14:textId="77777777" w:rsidR="003103D5" w:rsidRDefault="00C17BD1">
      <w:pPr>
        <w:pStyle w:val="Ttulo2"/>
        <w:spacing w:before="260" w:after="120"/>
      </w:pPr>
      <w:r>
        <w:rPr>
          <w:rFonts w:ascii="Arial" w:eastAsia="Arial" w:hAnsi="Arial" w:cs="Arial"/>
          <w:b/>
          <w:bCs/>
          <w:color w:val="2086DB"/>
          <w:sz w:val="24"/>
          <w:szCs w:val="24"/>
        </w:rPr>
        <w:t xml:space="preserve">3.3. Estructura de cada proyecto del </w:t>
      </w:r>
      <w:proofErr w:type="spellStart"/>
      <w:r>
        <w:rPr>
          <w:rFonts w:ascii="Arial" w:eastAsia="Arial" w:hAnsi="Arial" w:cs="Arial"/>
          <w:b/>
          <w:bCs/>
          <w:color w:val="2086DB"/>
          <w:sz w:val="24"/>
          <w:szCs w:val="24"/>
        </w:rPr>
        <w:t>backend</w:t>
      </w:r>
      <w:proofErr w:type="spellEnd"/>
    </w:p>
    <w:p w14:paraId="749566D6" w14:textId="77777777" w:rsidR="003103D5" w:rsidRDefault="00C17BD1">
      <w:pPr>
        <w:spacing w:after="200" w:line="300" w:lineRule="auto"/>
        <w:ind w:firstLine="720"/>
        <w:jc w:val="both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Routify.Auth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Routify.Logistica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comparten la misma estructura interna en capas:</w:t>
      </w:r>
    </w:p>
    <w:p w14:paraId="22971DD9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b/>
          <w:bCs/>
          <w:color w:val="222222"/>
          <w:sz w:val="22"/>
          <w:szCs w:val="22"/>
        </w:rPr>
        <w:t>Models</w:t>
      </w:r>
      <w:proofErr w:type="spellEnd"/>
      <w:r>
        <w:rPr>
          <w:rFonts w:ascii="Arial" w:eastAsia="Arial" w:hAnsi="Arial" w:cs="Arial"/>
          <w:b/>
          <w:bCs/>
          <w:color w:val="222222"/>
          <w:sz w:val="22"/>
          <w:szCs w:val="22"/>
        </w:rPr>
        <w:t xml:space="preserve">/ </w:t>
      </w:r>
      <w:r>
        <w:rPr>
          <w:rFonts w:ascii="Arial" w:eastAsia="Arial" w:hAnsi="Arial" w:cs="Arial"/>
          <w:color w:val="222222"/>
          <w:sz w:val="22"/>
          <w:szCs w:val="22"/>
        </w:rPr>
        <w:t>— las entidades de dominio puras, clases simples que representan las tablas reales de la base.</w:t>
      </w:r>
    </w:p>
    <w:p w14:paraId="1A60DC49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 xml:space="preserve">Data/ 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— 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DbContext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de cada servicio (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AuthDbContext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LogisticaDbContext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) y la carpeta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Migrations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, con el historial versionado del esquema en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Postgres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>.</w:t>
      </w:r>
    </w:p>
    <w:p w14:paraId="10EF96D1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b/>
          <w:bCs/>
          <w:color w:val="222222"/>
          <w:sz w:val="22"/>
          <w:szCs w:val="22"/>
        </w:rPr>
        <w:t>Controllers</w:t>
      </w:r>
      <w:proofErr w:type="spellEnd"/>
      <w:r>
        <w:rPr>
          <w:rFonts w:ascii="Arial" w:eastAsia="Arial" w:hAnsi="Arial" w:cs="Arial"/>
          <w:b/>
          <w:bCs/>
          <w:color w:val="222222"/>
          <w:sz w:val="22"/>
          <w:szCs w:val="22"/>
        </w:rPr>
        <w:t xml:space="preserve">/ 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— la capa de exposición HTTP: cada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controller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recibe la petición, habla con 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DbContext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y devuelve un DTO, nunca la entidad de dominio directa.</w:t>
      </w:r>
    </w:p>
    <w:p w14:paraId="52798F8A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b/>
          <w:bCs/>
          <w:color w:val="222222"/>
          <w:sz w:val="22"/>
          <w:szCs w:val="22"/>
        </w:rPr>
        <w:t>Services</w:t>
      </w:r>
      <w:proofErr w:type="spellEnd"/>
      <w:r>
        <w:rPr>
          <w:rFonts w:ascii="Arial" w:eastAsia="Arial" w:hAnsi="Arial" w:cs="Arial"/>
          <w:b/>
          <w:bCs/>
          <w:color w:val="222222"/>
          <w:sz w:val="22"/>
          <w:szCs w:val="22"/>
        </w:rPr>
        <w:t xml:space="preserve">/ y </w:t>
      </w:r>
      <w:proofErr w:type="spellStart"/>
      <w:r>
        <w:rPr>
          <w:rFonts w:ascii="Arial" w:eastAsia="Arial" w:hAnsi="Arial" w:cs="Arial"/>
          <w:b/>
          <w:bCs/>
          <w:color w:val="222222"/>
          <w:sz w:val="22"/>
          <w:szCs w:val="22"/>
        </w:rPr>
        <w:t>Settings</w:t>
      </w:r>
      <w:proofErr w:type="spellEnd"/>
      <w:r>
        <w:rPr>
          <w:rFonts w:ascii="Arial" w:eastAsia="Arial" w:hAnsi="Arial" w:cs="Arial"/>
          <w:b/>
          <w:bCs/>
          <w:color w:val="222222"/>
          <w:sz w:val="22"/>
          <w:szCs w:val="22"/>
        </w:rPr>
        <w:t xml:space="preserve">/ (solo en Auth) 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— acá vive la lógica que no es CRUD puro: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TokenService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genera y firma los JWT, y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JwtSettings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tipa la configuración leída del </w:t>
      </w:r>
      <w:proofErr w:type="spellStart"/>
      <w:proofErr w:type="gramStart"/>
      <w:r>
        <w:rPr>
          <w:rFonts w:ascii="Arial" w:eastAsia="Arial" w:hAnsi="Arial" w:cs="Arial"/>
          <w:color w:val="222222"/>
          <w:sz w:val="22"/>
          <w:szCs w:val="22"/>
        </w:rPr>
        <w:t>appsettings.json</w:t>
      </w:r>
      <w:proofErr w:type="spellEnd"/>
      <w:proofErr w:type="gramEnd"/>
      <w:r>
        <w:rPr>
          <w:rFonts w:ascii="Arial" w:eastAsia="Arial" w:hAnsi="Arial" w:cs="Arial"/>
          <w:color w:val="222222"/>
          <w:sz w:val="22"/>
          <w:szCs w:val="22"/>
        </w:rPr>
        <w:t>.</w:t>
      </w:r>
    </w:p>
    <w:p w14:paraId="1C848324" w14:textId="77777777" w:rsidR="003103D5" w:rsidRDefault="00C17BD1">
      <w:pPr>
        <w:spacing w:after="200" w:line="300" w:lineRule="auto"/>
        <w:ind w:firstLine="720"/>
        <w:jc w:val="both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lastRenderedPageBreak/>
        <w:t>Routify.Shared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funciona como el contrato común entre todas las piezas: la carpeta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Dtos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>/ (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ClienteDtos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DireccionDtos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LoginDtos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) define exactamente qué forma tienen los datos que entran y salen de cada API. Tanto Auth como Logística referencian este proyecto, y 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también lo consume al ser parte de la misma solución, evitando definir el mismo objeto dos veces y que se desincronice entre back y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front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>.</w:t>
      </w:r>
    </w:p>
    <w:p w14:paraId="22A7C609" w14:textId="77777777" w:rsidR="003103D5" w:rsidRDefault="00C17BD1">
      <w:pPr>
        <w:spacing w:after="200" w:line="300" w:lineRule="auto"/>
        <w:ind w:firstLine="720"/>
        <w:jc w:val="both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Routify.Gateway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no tiene lógica de negocio propia: su único trabajo es leer la configuración de rutas del </w:t>
      </w:r>
      <w:proofErr w:type="spellStart"/>
      <w:proofErr w:type="gramStart"/>
      <w:r>
        <w:rPr>
          <w:rFonts w:ascii="Arial" w:eastAsia="Arial" w:hAnsi="Arial" w:cs="Arial"/>
          <w:color w:val="222222"/>
          <w:sz w:val="22"/>
          <w:szCs w:val="22"/>
        </w:rPr>
        <w:t>appsettings.json</w:t>
      </w:r>
      <w:proofErr w:type="spellEnd"/>
      <w:proofErr w:type="gramEnd"/>
      <w:r>
        <w:rPr>
          <w:rFonts w:ascii="Arial" w:eastAsia="Arial" w:hAnsi="Arial" w:cs="Arial"/>
          <w:color w:val="222222"/>
          <w:sz w:val="22"/>
          <w:szCs w:val="22"/>
        </w:rPr>
        <w:t xml:space="preserve"> (la sección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ReverseProxy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armada con YARP) y redirigir el tráfico. Todo lo que empieza con /api/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auth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>/... va a Auth; el resto de /api/... va a Logística.</w:t>
      </w:r>
    </w:p>
    <w:p w14:paraId="19650576" w14:textId="77777777" w:rsidR="003103D5" w:rsidRDefault="00C17BD1">
      <w:pPr>
        <w:pStyle w:val="Ttulo2"/>
        <w:spacing w:before="260" w:after="120"/>
      </w:pPr>
      <w:r>
        <w:rPr>
          <w:rFonts w:ascii="Arial" w:eastAsia="Arial" w:hAnsi="Arial" w:cs="Arial"/>
          <w:b/>
          <w:bCs/>
          <w:color w:val="2086DB"/>
          <w:sz w:val="24"/>
          <w:szCs w:val="24"/>
        </w:rPr>
        <w:t xml:space="preserve">3.4. </w:t>
      </w:r>
      <w:proofErr w:type="spellStart"/>
      <w:r>
        <w:rPr>
          <w:rFonts w:ascii="Arial" w:eastAsia="Arial" w:hAnsi="Arial" w:cs="Arial"/>
          <w:b/>
          <w:bCs/>
          <w:color w:val="2086DB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b/>
          <w:bCs/>
          <w:color w:val="2086DB"/>
          <w:sz w:val="24"/>
          <w:szCs w:val="24"/>
        </w:rPr>
        <w:t xml:space="preserve"> — Tecnologías utilizadas</w:t>
      </w:r>
    </w:p>
    <w:p w14:paraId="538F5090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.NET MAUI +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Blazor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Hybrid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— para una app multiplataforma con componentes web</w:t>
      </w:r>
    </w:p>
    <w:p w14:paraId="3C129634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Razor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Components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2"/>
          <w:szCs w:val="22"/>
        </w:rPr>
        <w:t>(.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razor</w:t>
      </w:r>
      <w:proofErr w:type="spellEnd"/>
      <w:proofErr w:type="gramEnd"/>
      <w:r>
        <w:rPr>
          <w:rFonts w:ascii="Arial" w:eastAsia="Arial" w:hAnsi="Arial" w:cs="Arial"/>
          <w:color w:val="222222"/>
          <w:sz w:val="22"/>
          <w:szCs w:val="22"/>
        </w:rPr>
        <w:t>) — estructura de páginas y componentes reutilizables</w:t>
      </w:r>
    </w:p>
    <w:p w14:paraId="30192654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CSS — hojas de estilo propias por cada página</w:t>
      </w:r>
    </w:p>
    <w:p w14:paraId="4FE02B66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HttpClient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— consumo de la API REST expuesta por el Gateway</w:t>
      </w:r>
    </w:p>
    <w:p w14:paraId="65EDBB73" w14:textId="77777777" w:rsidR="003103D5" w:rsidRDefault="00C17BD1">
      <w:pPr>
        <w:pStyle w:val="Ttulo2"/>
        <w:spacing w:before="260" w:after="120"/>
      </w:pPr>
      <w:r>
        <w:rPr>
          <w:rFonts w:ascii="Arial" w:eastAsia="Arial" w:hAnsi="Arial" w:cs="Arial"/>
          <w:b/>
          <w:bCs/>
          <w:color w:val="2086DB"/>
          <w:sz w:val="24"/>
          <w:szCs w:val="24"/>
        </w:rPr>
        <w:t xml:space="preserve">3.5. </w:t>
      </w:r>
      <w:proofErr w:type="spellStart"/>
      <w:r>
        <w:rPr>
          <w:rFonts w:ascii="Arial" w:eastAsia="Arial" w:hAnsi="Arial" w:cs="Arial"/>
          <w:b/>
          <w:bCs/>
          <w:color w:val="2086DB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b/>
          <w:bCs/>
          <w:color w:val="2086DB"/>
          <w:sz w:val="24"/>
          <w:szCs w:val="24"/>
        </w:rPr>
        <w:t xml:space="preserve"> — Qué se hizo</w:t>
      </w:r>
    </w:p>
    <w:p w14:paraId="6C3D0AFC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Se construyeron las siete pantallas principales de la app: Inicio, Inicio de sesión, Clientes, Pedidos, Envíos, Vehículos y Mi Cuenta, cada una con su propia hoja de estilos, además de la identidad visual del sistema (logo y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assets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propios).</w:t>
      </w:r>
    </w:p>
    <w:p w14:paraId="7CDB4813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se conecta al sistema a través del API Gateway como único punto de entrada. Al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loguearse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, el JWT recibido se almacena y se adjunta automáticamente en cada petición protegida hacia 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>.</w:t>
      </w:r>
    </w:p>
    <w:p w14:paraId="0368FBB7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>Cada pantalla permite listar, crear, editar y eliminar los recursos correspondientes (clientes, direcciones, pedidos, vehículos, etc.), con validaciones en el cliente antes de enviar los datos al servidor y manejo de sesión, redirigiendo al login si el usuario no está autenticado.</w:t>
      </w:r>
    </w:p>
    <w:p w14:paraId="6D8D43DD" w14:textId="77777777" w:rsidR="003103D5" w:rsidRDefault="00C17BD1">
      <w:pPr>
        <w:pStyle w:val="Ttulo2"/>
        <w:spacing w:before="260" w:after="120"/>
      </w:pPr>
      <w:r>
        <w:rPr>
          <w:rFonts w:ascii="Arial" w:eastAsia="Arial" w:hAnsi="Arial" w:cs="Arial"/>
          <w:b/>
          <w:bCs/>
          <w:color w:val="2086DB"/>
          <w:sz w:val="24"/>
          <w:szCs w:val="24"/>
        </w:rPr>
        <w:t xml:space="preserve">3.6. Estructura del </w:t>
      </w:r>
      <w:proofErr w:type="spellStart"/>
      <w:r>
        <w:rPr>
          <w:rFonts w:ascii="Arial" w:eastAsia="Arial" w:hAnsi="Arial" w:cs="Arial"/>
          <w:b/>
          <w:bCs/>
          <w:color w:val="2086DB"/>
          <w:sz w:val="24"/>
          <w:szCs w:val="24"/>
        </w:rPr>
        <w:t>frontend</w:t>
      </w:r>
      <w:proofErr w:type="spellEnd"/>
    </w:p>
    <w:p w14:paraId="5F7171D0" w14:textId="77777777" w:rsidR="003103D5" w:rsidRDefault="00C17BD1">
      <w:pPr>
        <w:spacing w:after="200" w:line="300" w:lineRule="auto"/>
        <w:ind w:firstLine="720"/>
        <w:jc w:val="both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Routify.App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es un proyecto único de .NET MAUI con Blazor Hybrid, lo que permite compilar tanto a escritorio y móvil como reusar componentes web:</w:t>
      </w:r>
    </w:p>
    <w:p w14:paraId="1E283492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b/>
          <w:bCs/>
          <w:color w:val="222222"/>
          <w:sz w:val="22"/>
          <w:szCs w:val="22"/>
        </w:rPr>
        <w:t>Components</w:t>
      </w:r>
      <w:proofErr w:type="spellEnd"/>
      <w:r>
        <w:rPr>
          <w:rFonts w:ascii="Arial" w:eastAsia="Arial" w:hAnsi="Arial" w:cs="Arial"/>
          <w:b/>
          <w:bCs/>
          <w:color w:val="222222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b/>
          <w:bCs/>
          <w:color w:val="222222"/>
          <w:sz w:val="22"/>
          <w:szCs w:val="22"/>
        </w:rPr>
        <w:t>Pages</w:t>
      </w:r>
      <w:proofErr w:type="spellEnd"/>
      <w:r>
        <w:rPr>
          <w:rFonts w:ascii="Arial" w:eastAsia="Arial" w:hAnsi="Arial" w:cs="Arial"/>
          <w:b/>
          <w:bCs/>
          <w:color w:val="222222"/>
          <w:sz w:val="22"/>
          <w:szCs w:val="22"/>
        </w:rPr>
        <w:t xml:space="preserve">/ </w:t>
      </w:r>
      <w:r>
        <w:rPr>
          <w:rFonts w:ascii="Arial" w:eastAsia="Arial" w:hAnsi="Arial" w:cs="Arial"/>
          <w:color w:val="222222"/>
          <w:sz w:val="22"/>
          <w:szCs w:val="22"/>
        </w:rPr>
        <w:t>— cada pantalla de la app (Inicio, Iniciar-sesión, Clientes, Pedidos, Envíos, Vehículos, Mi Cuenta) como un componente Razor independiente, con su propio CSS.</w:t>
      </w:r>
    </w:p>
    <w:p w14:paraId="0775901F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b/>
          <w:bCs/>
          <w:color w:val="222222"/>
          <w:sz w:val="22"/>
          <w:szCs w:val="22"/>
        </w:rPr>
        <w:t>wwwroot</w:t>
      </w:r>
      <w:proofErr w:type="spellEnd"/>
      <w:r>
        <w:rPr>
          <w:rFonts w:ascii="Arial" w:eastAsia="Arial" w:hAnsi="Arial" w:cs="Arial"/>
          <w:b/>
          <w:bCs/>
          <w:color w:val="222222"/>
          <w:sz w:val="22"/>
          <w:szCs w:val="22"/>
        </w:rPr>
        <w:t xml:space="preserve">/ 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— los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assets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estáticos, como el logo y las imágenes.</w:t>
      </w:r>
    </w:p>
    <w:p w14:paraId="4426A8E3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b/>
          <w:bCs/>
          <w:color w:val="222222"/>
          <w:sz w:val="22"/>
          <w:szCs w:val="22"/>
        </w:rPr>
        <w:t>Platforms</w:t>
      </w:r>
      <w:proofErr w:type="spellEnd"/>
      <w:r>
        <w:rPr>
          <w:rFonts w:ascii="Arial" w:eastAsia="Arial" w:hAnsi="Arial" w:cs="Arial"/>
          <w:b/>
          <w:bCs/>
          <w:color w:val="222222"/>
          <w:sz w:val="22"/>
          <w:szCs w:val="22"/>
        </w:rPr>
        <w:t xml:space="preserve">/ y </w:t>
      </w:r>
      <w:proofErr w:type="spellStart"/>
      <w:r>
        <w:rPr>
          <w:rFonts w:ascii="Arial" w:eastAsia="Arial" w:hAnsi="Arial" w:cs="Arial"/>
          <w:b/>
          <w:bCs/>
          <w:color w:val="222222"/>
          <w:sz w:val="22"/>
          <w:szCs w:val="22"/>
        </w:rPr>
        <w:t>Resources</w:t>
      </w:r>
      <w:proofErr w:type="spellEnd"/>
      <w:r>
        <w:rPr>
          <w:rFonts w:ascii="Arial" w:eastAsia="Arial" w:hAnsi="Arial" w:cs="Arial"/>
          <w:b/>
          <w:bCs/>
          <w:color w:val="222222"/>
          <w:sz w:val="22"/>
          <w:szCs w:val="22"/>
        </w:rPr>
        <w:t xml:space="preserve">/ </w:t>
      </w:r>
      <w:r>
        <w:rPr>
          <w:rFonts w:ascii="Arial" w:eastAsia="Arial" w:hAnsi="Arial" w:cs="Arial"/>
          <w:color w:val="222222"/>
          <w:sz w:val="22"/>
          <w:szCs w:val="22"/>
        </w:rPr>
        <w:t>— el código y los recursos específicos de cada sistema operativo que genera la plantilla de MAUI.</w:t>
      </w:r>
    </w:p>
    <w:p w14:paraId="1A29EC13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lastRenderedPageBreak/>
        <w:t xml:space="preserve">La conexión con 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se resuelve con un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HttpClient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configurado apuntando a la URL del Gateway como única base, nunca directo a Auth o Logística. Al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loguearse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desde la pantalla de inicio de sesión, el JWT que devuelve /api/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auth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login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se guarda en el dispositivo, y un manejador central de autenticación lo adjunta automáticamente como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header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Authorization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en cada petición siguiente hacia /api/.... Cada pantalla de negocio usa los mismos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DTOs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Routify.Shared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para leer las respuestas, así el modelo de datos que ve el usuario en pantalla es exactamente el mismo contrato que expone 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>, sin transformaciones intermedias.</w:t>
      </w:r>
    </w:p>
    <w:p w14:paraId="5552660C" w14:textId="77777777" w:rsidR="003103D5" w:rsidRDefault="00C17BD1">
      <w:pPr>
        <w:pStyle w:val="Ttulo1"/>
        <w:pBdr>
          <w:bottom w:val="single" w:sz="6" w:space="4" w:color="1069C5"/>
        </w:pBdr>
        <w:spacing w:before="420" w:after="200"/>
      </w:pPr>
      <w:r>
        <w:rPr>
          <w:rFonts w:ascii="Arial" w:eastAsia="Arial" w:hAnsi="Arial" w:cs="Arial"/>
          <w:b/>
          <w:bCs/>
          <w:color w:val="1069C5"/>
          <w:sz w:val="30"/>
          <w:szCs w:val="30"/>
        </w:rPr>
        <w:t>4. Organización del trabajo</w:t>
      </w:r>
    </w:p>
    <w:p w14:paraId="5521CFB2" w14:textId="77777777" w:rsidR="003103D5" w:rsidRDefault="00C17BD1">
      <w:pPr>
        <w:pStyle w:val="Ttulo2"/>
        <w:spacing w:before="260" w:after="120"/>
      </w:pPr>
      <w:r>
        <w:rPr>
          <w:rFonts w:ascii="Arial" w:eastAsia="Arial" w:hAnsi="Arial" w:cs="Arial"/>
          <w:b/>
          <w:bCs/>
          <w:color w:val="2086DB"/>
          <w:sz w:val="24"/>
          <w:szCs w:val="24"/>
        </w:rPr>
        <w:t xml:space="preserve">4.1. Convención de </w:t>
      </w:r>
      <w:proofErr w:type="spellStart"/>
      <w:r>
        <w:rPr>
          <w:rFonts w:ascii="Arial" w:eastAsia="Arial" w:hAnsi="Arial" w:cs="Arial"/>
          <w:b/>
          <w:bCs/>
          <w:color w:val="2086DB"/>
          <w:sz w:val="24"/>
          <w:szCs w:val="24"/>
        </w:rPr>
        <w:t>commits</w:t>
      </w:r>
      <w:proofErr w:type="spellEnd"/>
      <w:r>
        <w:rPr>
          <w:rFonts w:ascii="Arial" w:eastAsia="Arial" w:hAnsi="Arial" w:cs="Arial"/>
          <w:b/>
          <w:bCs/>
          <w:color w:val="2086DB"/>
          <w:sz w:val="24"/>
          <w:szCs w:val="24"/>
        </w:rPr>
        <w:t xml:space="preserve"> en GitHub</w:t>
      </w:r>
    </w:p>
    <w:p w14:paraId="0D29CABD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Para mantener ordenado el historial de cambios del repositorio, el equipo definió una convención simple para nombrar los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commits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>:</w:t>
      </w:r>
    </w:p>
    <w:p w14:paraId="17537DCB" w14:textId="77777777" w:rsidR="003103D5" w:rsidRDefault="00C17BD1">
      <w:pPr>
        <w:spacing w:before="100" w:after="200"/>
        <w:ind w:left="720"/>
      </w:pPr>
      <w:r>
        <w:rPr>
          <w:rFonts w:ascii="Courier New" w:eastAsia="Courier New" w:hAnsi="Courier New" w:cs="Courier New"/>
          <w:color w:val="1069C5"/>
          <w:sz w:val="22"/>
          <w:szCs w:val="22"/>
        </w:rPr>
        <w:t>&lt;tipo&gt;(área): descripción corta</w:t>
      </w:r>
    </w:p>
    <w:p w14:paraId="790D9302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Los tipos de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commit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que se usan y su significado son:</w:t>
      </w:r>
    </w:p>
    <w:p w14:paraId="18CDB1C2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feat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→ nueva funcionalidad</w:t>
      </w:r>
    </w:p>
    <w:p w14:paraId="26292709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fix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→ corrección de errores</w:t>
      </w:r>
    </w:p>
    <w:p w14:paraId="13CB49A8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refactor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→ mejora interna sin cambiar comportamiento</w:t>
      </w:r>
    </w:p>
    <w:p w14:paraId="78D56D26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chore → tareas técnicas / mantenimiento</w:t>
      </w:r>
    </w:p>
    <w:p w14:paraId="2EC930B5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test →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tests</w:t>
      </w:r>
      <w:proofErr w:type="spellEnd"/>
    </w:p>
    <w:p w14:paraId="775E6ACA" w14:textId="77777777" w:rsidR="003103D5" w:rsidRDefault="00C17BD1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docs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→ documentación</w:t>
      </w:r>
    </w:p>
    <w:p w14:paraId="7C33BBD1" w14:textId="77777777" w:rsidR="003103D5" w:rsidRDefault="00C17BD1">
      <w:pPr>
        <w:pStyle w:val="Ttulo1"/>
        <w:pBdr>
          <w:bottom w:val="single" w:sz="6" w:space="4" w:color="1069C5"/>
        </w:pBdr>
        <w:spacing w:before="420" w:after="200"/>
      </w:pPr>
      <w:r>
        <w:rPr>
          <w:rFonts w:ascii="Arial" w:eastAsia="Arial" w:hAnsi="Arial" w:cs="Arial"/>
          <w:b/>
          <w:bCs/>
          <w:color w:val="1069C5"/>
          <w:sz w:val="30"/>
          <w:szCs w:val="30"/>
        </w:rPr>
        <w:t>5. Diseño visual de la aplicación</w:t>
      </w:r>
    </w:p>
    <w:p w14:paraId="51A1A4DA" w14:textId="034E420C" w:rsidR="00563B6A" w:rsidRDefault="00111B1E" w:rsidP="00111B1E">
      <w:pPr>
        <w:spacing w:before="100" w:after="100"/>
        <w:ind w:firstLine="708"/>
      </w:pPr>
      <w:r w:rsidRPr="00111B1E">
        <w:rPr>
          <w:rFonts w:ascii="Arial" w:eastAsia="Arial" w:hAnsi="Arial" w:cs="Arial"/>
          <w:color w:val="222222"/>
          <w:sz w:val="22"/>
          <w:szCs w:val="22"/>
        </w:rPr>
        <w:t xml:space="preserve">En paralelo al desarrollo de la arquitectura y el </w:t>
      </w:r>
      <w:proofErr w:type="spellStart"/>
      <w:r w:rsidRPr="00111B1E">
        <w:rPr>
          <w:rFonts w:ascii="Arial" w:eastAsia="Arial" w:hAnsi="Arial" w:cs="Arial"/>
          <w:color w:val="222222"/>
          <w:sz w:val="22"/>
          <w:szCs w:val="22"/>
        </w:rPr>
        <w:t>backend</w:t>
      </w:r>
      <w:proofErr w:type="spellEnd"/>
      <w:r w:rsidRPr="00111B1E">
        <w:rPr>
          <w:rFonts w:ascii="Arial" w:eastAsia="Arial" w:hAnsi="Arial" w:cs="Arial"/>
          <w:color w:val="222222"/>
          <w:sz w:val="22"/>
          <w:szCs w:val="22"/>
        </w:rPr>
        <w:t xml:space="preserve">, se diseñaron las pantallas principales de la aplicación utilizando </w:t>
      </w:r>
      <w:proofErr w:type="spellStart"/>
      <w:r w:rsidRPr="00111B1E">
        <w:rPr>
          <w:rFonts w:ascii="Arial" w:eastAsia="Arial" w:hAnsi="Arial" w:cs="Arial"/>
          <w:color w:val="222222"/>
          <w:sz w:val="22"/>
          <w:szCs w:val="22"/>
        </w:rPr>
        <w:t>Figma</w:t>
      </w:r>
      <w:proofErr w:type="spellEnd"/>
      <w:r w:rsidRPr="00111B1E">
        <w:rPr>
          <w:rFonts w:ascii="Arial" w:eastAsia="Arial" w:hAnsi="Arial" w:cs="Arial"/>
          <w:color w:val="222222"/>
          <w:sz w:val="22"/>
          <w:szCs w:val="22"/>
        </w:rPr>
        <w:t xml:space="preserve">. Se priorizó la creación de interfaces intuitivas para garantizar que el funcionamiento de la app fuera claro y accesible para el usuario. Asimismo, se integró la identidad visual de </w:t>
      </w:r>
      <w:proofErr w:type="spellStart"/>
      <w:r w:rsidRPr="00111B1E">
        <w:rPr>
          <w:rFonts w:ascii="Arial" w:eastAsia="Arial" w:hAnsi="Arial" w:cs="Arial"/>
          <w:color w:val="222222"/>
          <w:sz w:val="22"/>
          <w:szCs w:val="22"/>
        </w:rPr>
        <w:t>Routify</w:t>
      </w:r>
      <w:proofErr w:type="spellEnd"/>
      <w:r w:rsidRPr="00111B1E">
        <w:rPr>
          <w:rFonts w:ascii="Arial" w:eastAsia="Arial" w:hAnsi="Arial" w:cs="Arial"/>
          <w:color w:val="222222"/>
          <w:sz w:val="22"/>
          <w:szCs w:val="22"/>
        </w:rPr>
        <w:t>, adaptando el azul corporativo de la marca tanto para fondos claros como oscuros.</w:t>
      </w:r>
    </w:p>
    <w:p w14:paraId="794ADE09" w14:textId="77777777" w:rsidR="00563B6A" w:rsidRDefault="00563B6A" w:rsidP="00563B6A">
      <w:pPr>
        <w:spacing w:before="100" w:after="100"/>
        <w:jc w:val="center"/>
      </w:pPr>
    </w:p>
    <w:p w14:paraId="3BE22C22" w14:textId="4628E0CE" w:rsidR="00AD6F2A" w:rsidRDefault="00AD6F2A" w:rsidP="00E7649B">
      <w:pPr>
        <w:spacing w:before="100" w:after="100"/>
      </w:pPr>
    </w:p>
    <w:p w14:paraId="29452830" w14:textId="2B9F45E4" w:rsidR="00E7649B" w:rsidRDefault="00E7649B" w:rsidP="00E7649B">
      <w:pPr>
        <w:spacing w:before="100" w:after="100"/>
      </w:pPr>
    </w:p>
    <w:p w14:paraId="18490FC0" w14:textId="5299F2B4" w:rsidR="00E7649B" w:rsidRDefault="00E7649B" w:rsidP="00E7649B">
      <w:pPr>
        <w:spacing w:before="100" w:after="100"/>
      </w:pPr>
    </w:p>
    <w:p w14:paraId="7700C9BD" w14:textId="00E3521D" w:rsidR="00E7649B" w:rsidRDefault="00E7649B" w:rsidP="00E7649B">
      <w:pPr>
        <w:spacing w:before="100" w:after="100"/>
      </w:pPr>
    </w:p>
    <w:p w14:paraId="2BD1D26A" w14:textId="77777777" w:rsidR="00E7649B" w:rsidRDefault="00E7649B" w:rsidP="00E7649B">
      <w:pPr>
        <w:spacing w:before="100" w:after="100"/>
      </w:pPr>
    </w:p>
    <w:p w14:paraId="44EA4761" w14:textId="32C9193A" w:rsidR="00AD6F2A" w:rsidRDefault="00AD6F2A" w:rsidP="00563B6A">
      <w:pPr>
        <w:spacing w:before="100" w:after="100"/>
        <w:jc w:val="center"/>
      </w:pPr>
    </w:p>
    <w:p w14:paraId="152FD1D1" w14:textId="737A6F62" w:rsidR="00AD6F2A" w:rsidRDefault="00AD6F2A" w:rsidP="00563B6A">
      <w:pPr>
        <w:spacing w:before="100" w:after="100"/>
        <w:jc w:val="center"/>
      </w:pPr>
    </w:p>
    <w:p w14:paraId="6E7D1F67" w14:textId="2B4900B1" w:rsidR="00AD6F2A" w:rsidRPr="00667AD2" w:rsidRDefault="00AD6F2A" w:rsidP="00AD6F2A">
      <w:pPr>
        <w:spacing w:before="100" w:after="100"/>
        <w:rPr>
          <w:rFonts w:ascii="Arial" w:eastAsia="Arial" w:hAnsi="Arial" w:cs="Arial"/>
          <w:b/>
          <w:color w:val="222222"/>
          <w:sz w:val="22"/>
          <w:szCs w:val="22"/>
          <w:u w:val="single"/>
        </w:rPr>
      </w:pPr>
      <w:r w:rsidRPr="00667AD2">
        <w:rPr>
          <w:rFonts w:ascii="Arial" w:eastAsia="Arial" w:hAnsi="Arial" w:cs="Arial"/>
          <w:b/>
          <w:color w:val="222222"/>
          <w:sz w:val="22"/>
          <w:szCs w:val="22"/>
          <w:u w:val="single"/>
        </w:rPr>
        <w:lastRenderedPageBreak/>
        <w:t>Interfaz de “inicio”:</w:t>
      </w:r>
    </w:p>
    <w:p w14:paraId="649B9EC3" w14:textId="77777777" w:rsidR="00AD6F2A" w:rsidRDefault="00AD6F2A" w:rsidP="00563B6A">
      <w:pPr>
        <w:spacing w:before="100" w:after="100"/>
        <w:jc w:val="center"/>
        <w:rPr>
          <w:rFonts w:ascii="Arial" w:eastAsia="Arial" w:hAnsi="Arial" w:cs="Arial"/>
          <w:color w:val="222222"/>
          <w:sz w:val="22"/>
          <w:szCs w:val="22"/>
        </w:rPr>
      </w:pPr>
    </w:p>
    <w:p w14:paraId="2AAEA49C" w14:textId="075BB782" w:rsidR="00AD6F2A" w:rsidRDefault="00AD6F2A" w:rsidP="00563B6A">
      <w:pPr>
        <w:spacing w:before="100" w:after="100"/>
        <w:jc w:val="center"/>
      </w:pPr>
      <w:r>
        <w:rPr>
          <w:noProof/>
          <w:lang w:val="es-ES" w:eastAsia="es-ES"/>
        </w:rPr>
        <w:drawing>
          <wp:inline distT="0" distB="0" distL="0" distR="0" wp14:anchorId="50A8330A" wp14:editId="7025D373">
            <wp:extent cx="5274915" cy="2962275"/>
            <wp:effectExtent l="19050" t="19050" r="21590" b="9525"/>
            <wp:docPr id="14884927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639" cy="29755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83A728" w14:textId="77777777" w:rsidR="00AD6F2A" w:rsidRDefault="00AD6F2A" w:rsidP="00AD6F2A">
      <w:pPr>
        <w:spacing w:before="100" w:after="100"/>
        <w:rPr>
          <w:rFonts w:ascii="Arial" w:eastAsia="Arial" w:hAnsi="Arial" w:cs="Arial"/>
          <w:b/>
          <w:i/>
          <w:color w:val="222222"/>
          <w:sz w:val="22"/>
          <w:szCs w:val="22"/>
          <w:u w:val="single"/>
        </w:rPr>
      </w:pPr>
    </w:p>
    <w:p w14:paraId="76E84D47" w14:textId="218B1944" w:rsidR="00AD6F2A" w:rsidRPr="00AD6F2A" w:rsidRDefault="00AD6F2A" w:rsidP="00AD6F2A">
      <w:pPr>
        <w:spacing w:before="100" w:after="100"/>
        <w:rPr>
          <w:rFonts w:ascii="Arial" w:eastAsia="Arial" w:hAnsi="Arial" w:cs="Arial"/>
          <w:b/>
          <w:color w:val="222222"/>
          <w:sz w:val="22"/>
          <w:szCs w:val="22"/>
          <w:u w:val="single"/>
        </w:rPr>
      </w:pPr>
      <w:r w:rsidRPr="00AD6F2A">
        <w:rPr>
          <w:rFonts w:ascii="Arial" w:eastAsia="Arial" w:hAnsi="Arial" w:cs="Arial"/>
          <w:b/>
          <w:color w:val="222222"/>
          <w:sz w:val="22"/>
          <w:szCs w:val="22"/>
          <w:u w:val="single"/>
        </w:rPr>
        <w:t>Interfaz de “Iniciar Sesión”:</w:t>
      </w:r>
    </w:p>
    <w:p w14:paraId="0A7EC537" w14:textId="77777777" w:rsidR="00AD6F2A" w:rsidRDefault="00AD6F2A" w:rsidP="00563B6A">
      <w:pPr>
        <w:spacing w:before="100" w:after="100"/>
        <w:jc w:val="center"/>
      </w:pPr>
    </w:p>
    <w:p w14:paraId="7A9D7DE9" w14:textId="6A308B28" w:rsidR="00AD6F2A" w:rsidRDefault="00890BC3" w:rsidP="00E7649B">
      <w:pPr>
        <w:spacing w:before="100" w:after="100"/>
        <w:jc w:val="center"/>
      </w:pPr>
      <w:r>
        <w:rPr>
          <w:noProof/>
          <w:lang w:val="es-ES" w:eastAsia="es-ES"/>
        </w:rPr>
        <w:drawing>
          <wp:inline distT="0" distB="0" distL="0" distR="0" wp14:anchorId="0E7240F9" wp14:editId="7B924768">
            <wp:extent cx="5274913" cy="2962275"/>
            <wp:effectExtent l="19050" t="19050" r="21590" b="9525"/>
            <wp:docPr id="10670481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274" cy="297876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FE7AB6" w14:textId="68DF9829" w:rsidR="00AD6F2A" w:rsidRDefault="00AD6F2A" w:rsidP="00563B6A">
      <w:pPr>
        <w:spacing w:before="100" w:after="100"/>
        <w:jc w:val="center"/>
      </w:pPr>
    </w:p>
    <w:p w14:paraId="64DD541B" w14:textId="0021A8A8" w:rsidR="00E7649B" w:rsidRDefault="00E7649B" w:rsidP="00563B6A">
      <w:pPr>
        <w:spacing w:before="100" w:after="100"/>
        <w:jc w:val="center"/>
      </w:pPr>
    </w:p>
    <w:p w14:paraId="264FDC85" w14:textId="7D9E284C" w:rsidR="00E7649B" w:rsidRDefault="00E7649B" w:rsidP="00563B6A">
      <w:pPr>
        <w:spacing w:before="100" w:after="100"/>
        <w:jc w:val="center"/>
      </w:pPr>
    </w:p>
    <w:p w14:paraId="377CD7BB" w14:textId="77777777" w:rsidR="00E7649B" w:rsidRDefault="00E7649B" w:rsidP="00563B6A">
      <w:pPr>
        <w:spacing w:before="100" w:after="100"/>
        <w:jc w:val="center"/>
      </w:pPr>
    </w:p>
    <w:p w14:paraId="470A5A62" w14:textId="77777777" w:rsidR="00AD6F2A" w:rsidRDefault="00AD6F2A" w:rsidP="00AD6F2A">
      <w:pPr>
        <w:spacing w:before="100" w:after="100"/>
        <w:rPr>
          <w:rFonts w:ascii="Arial" w:eastAsia="Arial" w:hAnsi="Arial" w:cs="Arial"/>
          <w:b/>
          <w:i/>
          <w:color w:val="222222"/>
          <w:sz w:val="22"/>
          <w:szCs w:val="22"/>
          <w:u w:val="single"/>
        </w:rPr>
      </w:pPr>
    </w:p>
    <w:p w14:paraId="733A4255" w14:textId="11E66326" w:rsidR="00AD6F2A" w:rsidRPr="00AD6F2A" w:rsidRDefault="00AD6F2A" w:rsidP="00AD6F2A">
      <w:pPr>
        <w:spacing w:before="100" w:after="100"/>
        <w:rPr>
          <w:rFonts w:ascii="Arial" w:eastAsia="Arial" w:hAnsi="Arial" w:cs="Arial"/>
          <w:b/>
          <w:color w:val="222222"/>
          <w:sz w:val="22"/>
          <w:szCs w:val="22"/>
          <w:u w:val="single"/>
        </w:rPr>
      </w:pPr>
      <w:r w:rsidRPr="00AD6F2A">
        <w:rPr>
          <w:rFonts w:ascii="Arial" w:eastAsia="Arial" w:hAnsi="Arial" w:cs="Arial"/>
          <w:b/>
          <w:color w:val="222222"/>
          <w:sz w:val="22"/>
          <w:szCs w:val="22"/>
          <w:u w:val="single"/>
        </w:rPr>
        <w:lastRenderedPageBreak/>
        <w:t>Interfaz de “</w:t>
      </w:r>
      <w:r>
        <w:rPr>
          <w:rFonts w:ascii="Arial" w:eastAsia="Arial" w:hAnsi="Arial" w:cs="Arial"/>
          <w:b/>
          <w:color w:val="222222"/>
          <w:sz w:val="22"/>
          <w:szCs w:val="22"/>
          <w:u w:val="single"/>
        </w:rPr>
        <w:t>Menú</w:t>
      </w:r>
      <w:r w:rsidRPr="00AD6F2A">
        <w:rPr>
          <w:rFonts w:ascii="Arial" w:eastAsia="Arial" w:hAnsi="Arial" w:cs="Arial"/>
          <w:b/>
          <w:color w:val="222222"/>
          <w:sz w:val="22"/>
          <w:szCs w:val="22"/>
          <w:u w:val="single"/>
        </w:rPr>
        <w:t>”:</w:t>
      </w:r>
    </w:p>
    <w:p w14:paraId="50ABFD60" w14:textId="77777777" w:rsidR="00AD6F2A" w:rsidRDefault="00AD6F2A" w:rsidP="00563B6A">
      <w:pPr>
        <w:spacing w:before="100" w:after="100"/>
        <w:jc w:val="center"/>
      </w:pPr>
    </w:p>
    <w:p w14:paraId="120385AE" w14:textId="1D7C34AC" w:rsidR="00AD6F2A" w:rsidRDefault="00563B6A" w:rsidP="00AD6F2A">
      <w:pPr>
        <w:spacing w:before="100" w:after="100"/>
        <w:jc w:val="center"/>
      </w:pPr>
      <w:r>
        <w:rPr>
          <w:noProof/>
          <w:lang w:val="es-ES" w:eastAsia="es-ES"/>
        </w:rPr>
        <w:drawing>
          <wp:inline distT="0" distB="0" distL="0" distR="0" wp14:anchorId="715E65E9" wp14:editId="6D784154">
            <wp:extent cx="5271214" cy="2962275"/>
            <wp:effectExtent l="19050" t="19050" r="24765" b="9525"/>
            <wp:docPr id="2" name="Imagen 2" descr="C:\Users\facuc\Downloads\Men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cuc\Downloads\Menú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261" cy="2980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A9C43" w14:textId="77777777" w:rsidR="00AD6F2A" w:rsidRDefault="00AD6F2A" w:rsidP="00AD6F2A">
      <w:pPr>
        <w:spacing w:before="100" w:after="100"/>
        <w:rPr>
          <w:rFonts w:ascii="Arial" w:eastAsia="Arial" w:hAnsi="Arial" w:cs="Arial"/>
          <w:b/>
          <w:i/>
          <w:color w:val="222222"/>
          <w:sz w:val="22"/>
          <w:szCs w:val="22"/>
          <w:u w:val="single"/>
        </w:rPr>
      </w:pPr>
    </w:p>
    <w:p w14:paraId="4DA98E61" w14:textId="795C77D3" w:rsidR="00AD6F2A" w:rsidRPr="00AD6F2A" w:rsidRDefault="00AD6F2A" w:rsidP="00AD6F2A">
      <w:pPr>
        <w:spacing w:before="100" w:after="100"/>
        <w:rPr>
          <w:rFonts w:ascii="Arial" w:eastAsia="Arial" w:hAnsi="Arial" w:cs="Arial"/>
          <w:b/>
          <w:color w:val="222222"/>
          <w:sz w:val="22"/>
          <w:szCs w:val="22"/>
          <w:u w:val="single"/>
        </w:rPr>
      </w:pPr>
      <w:r w:rsidRPr="00AD6F2A">
        <w:rPr>
          <w:rFonts w:ascii="Arial" w:eastAsia="Arial" w:hAnsi="Arial" w:cs="Arial"/>
          <w:b/>
          <w:color w:val="222222"/>
          <w:sz w:val="22"/>
          <w:szCs w:val="22"/>
          <w:u w:val="single"/>
        </w:rPr>
        <w:t>Interfaz de “</w:t>
      </w:r>
      <w:r>
        <w:rPr>
          <w:rFonts w:ascii="Arial" w:eastAsia="Arial" w:hAnsi="Arial" w:cs="Arial"/>
          <w:b/>
          <w:color w:val="222222"/>
          <w:sz w:val="22"/>
          <w:szCs w:val="22"/>
          <w:u w:val="single"/>
        </w:rPr>
        <w:t>Clientes</w:t>
      </w:r>
      <w:r w:rsidRPr="00AD6F2A">
        <w:rPr>
          <w:rFonts w:ascii="Arial" w:eastAsia="Arial" w:hAnsi="Arial" w:cs="Arial"/>
          <w:b/>
          <w:color w:val="222222"/>
          <w:sz w:val="22"/>
          <w:szCs w:val="22"/>
          <w:u w:val="single"/>
        </w:rPr>
        <w:t>”:</w:t>
      </w:r>
    </w:p>
    <w:p w14:paraId="40FD5B0A" w14:textId="77777777" w:rsidR="00AD6F2A" w:rsidRDefault="00AD6F2A" w:rsidP="00AD6F2A">
      <w:pPr>
        <w:spacing w:before="100" w:after="100"/>
        <w:jc w:val="center"/>
      </w:pPr>
    </w:p>
    <w:p w14:paraId="42DE7EC4" w14:textId="77777777" w:rsidR="00AD6F2A" w:rsidRDefault="00890BC3" w:rsidP="00AD6F2A">
      <w:pPr>
        <w:spacing w:before="100" w:after="100"/>
        <w:jc w:val="center"/>
      </w:pPr>
      <w:r>
        <w:rPr>
          <w:noProof/>
          <w:lang w:val="es-ES" w:eastAsia="es-ES"/>
        </w:rPr>
        <w:drawing>
          <wp:inline distT="0" distB="0" distL="0" distR="0" wp14:anchorId="3B223998" wp14:editId="533CC8F1">
            <wp:extent cx="5273697" cy="2981325"/>
            <wp:effectExtent l="19050" t="19050" r="22225" b="9525"/>
            <wp:docPr id="12597201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354" cy="29992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359DA" w14:textId="77777777" w:rsidR="00AD6F2A" w:rsidRDefault="00AD6F2A" w:rsidP="00AD6F2A">
      <w:pPr>
        <w:spacing w:before="100" w:after="100"/>
      </w:pPr>
    </w:p>
    <w:p w14:paraId="2EE40840" w14:textId="66BC7142" w:rsidR="00AD6F2A" w:rsidRDefault="00AD6F2A" w:rsidP="00AD6F2A">
      <w:pPr>
        <w:spacing w:before="100" w:after="100"/>
      </w:pPr>
    </w:p>
    <w:p w14:paraId="6651D5FA" w14:textId="6AF55461" w:rsidR="00AD6F2A" w:rsidRDefault="00AD6F2A" w:rsidP="00AD6F2A">
      <w:pPr>
        <w:spacing w:before="100" w:after="100"/>
      </w:pPr>
    </w:p>
    <w:p w14:paraId="60B2EF78" w14:textId="1EB60CFF" w:rsidR="00AD6F2A" w:rsidRDefault="00AD6F2A" w:rsidP="00AD6F2A">
      <w:pPr>
        <w:spacing w:before="100" w:after="100"/>
      </w:pPr>
    </w:p>
    <w:p w14:paraId="491D5519" w14:textId="6241C4B0" w:rsidR="00667AD2" w:rsidRDefault="00667AD2" w:rsidP="00AD6F2A">
      <w:pPr>
        <w:spacing w:before="100" w:after="100"/>
      </w:pPr>
    </w:p>
    <w:p w14:paraId="22480339" w14:textId="77777777" w:rsidR="00667AD2" w:rsidRDefault="00667AD2" w:rsidP="00667AD2">
      <w:pPr>
        <w:spacing w:before="100" w:after="100"/>
        <w:rPr>
          <w:rFonts w:ascii="Arial" w:eastAsia="Arial" w:hAnsi="Arial" w:cs="Arial"/>
          <w:b/>
          <w:i/>
          <w:color w:val="222222"/>
          <w:sz w:val="22"/>
          <w:szCs w:val="22"/>
          <w:u w:val="single"/>
        </w:rPr>
      </w:pPr>
    </w:p>
    <w:p w14:paraId="3FB05CFA" w14:textId="302CA461" w:rsidR="00667AD2" w:rsidRPr="00AD6F2A" w:rsidRDefault="00667AD2" w:rsidP="00667AD2">
      <w:pPr>
        <w:spacing w:before="100" w:after="100"/>
        <w:rPr>
          <w:rFonts w:ascii="Arial" w:eastAsia="Arial" w:hAnsi="Arial" w:cs="Arial"/>
          <w:b/>
          <w:color w:val="222222"/>
          <w:sz w:val="22"/>
          <w:szCs w:val="22"/>
          <w:u w:val="single"/>
        </w:rPr>
      </w:pPr>
      <w:r w:rsidRPr="00AD6F2A">
        <w:rPr>
          <w:rFonts w:ascii="Arial" w:eastAsia="Arial" w:hAnsi="Arial" w:cs="Arial"/>
          <w:b/>
          <w:color w:val="222222"/>
          <w:sz w:val="22"/>
          <w:szCs w:val="22"/>
          <w:u w:val="single"/>
        </w:rPr>
        <w:t>Interfaz de “</w:t>
      </w:r>
      <w:r>
        <w:rPr>
          <w:rFonts w:ascii="Arial" w:eastAsia="Arial" w:hAnsi="Arial" w:cs="Arial"/>
          <w:b/>
          <w:color w:val="222222"/>
          <w:sz w:val="22"/>
          <w:szCs w:val="22"/>
          <w:u w:val="single"/>
        </w:rPr>
        <w:t>Pedidos</w:t>
      </w:r>
      <w:r w:rsidRPr="00AD6F2A">
        <w:rPr>
          <w:rFonts w:ascii="Arial" w:eastAsia="Arial" w:hAnsi="Arial" w:cs="Arial"/>
          <w:b/>
          <w:color w:val="222222"/>
          <w:sz w:val="22"/>
          <w:szCs w:val="22"/>
          <w:u w:val="single"/>
        </w:rPr>
        <w:t>”:</w:t>
      </w:r>
    </w:p>
    <w:p w14:paraId="102391E5" w14:textId="77777777" w:rsidR="00667AD2" w:rsidRDefault="00667AD2" w:rsidP="00AD6F2A">
      <w:pPr>
        <w:spacing w:before="100" w:after="100"/>
      </w:pPr>
    </w:p>
    <w:p w14:paraId="0AD60CA8" w14:textId="39DC222D" w:rsidR="00AD6F2A" w:rsidRDefault="00563B6A" w:rsidP="00667AD2">
      <w:pPr>
        <w:spacing w:before="100" w:after="100"/>
        <w:jc w:val="center"/>
      </w:pPr>
      <w:r>
        <w:rPr>
          <w:noProof/>
          <w:lang w:val="es-ES" w:eastAsia="es-ES"/>
        </w:rPr>
        <w:drawing>
          <wp:inline distT="0" distB="0" distL="0" distR="0" wp14:anchorId="15E125D5" wp14:editId="41EAFF77">
            <wp:extent cx="5240992" cy="2943225"/>
            <wp:effectExtent l="19050" t="19050" r="17145" b="9525"/>
            <wp:docPr id="146491388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969" cy="29594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7EAEB" w14:textId="77777777" w:rsidR="00667AD2" w:rsidRDefault="00667AD2" w:rsidP="00667AD2">
      <w:pPr>
        <w:spacing w:before="100" w:after="100"/>
        <w:jc w:val="center"/>
      </w:pPr>
    </w:p>
    <w:p w14:paraId="5FD1C37F" w14:textId="02D2AABD" w:rsidR="00667AD2" w:rsidRPr="00AD6F2A" w:rsidRDefault="00667AD2" w:rsidP="00667AD2">
      <w:pPr>
        <w:spacing w:before="100" w:after="100"/>
        <w:rPr>
          <w:rFonts w:ascii="Arial" w:eastAsia="Arial" w:hAnsi="Arial" w:cs="Arial"/>
          <w:b/>
          <w:color w:val="222222"/>
          <w:sz w:val="22"/>
          <w:szCs w:val="22"/>
          <w:u w:val="single"/>
        </w:rPr>
      </w:pPr>
      <w:r w:rsidRPr="00AD6F2A">
        <w:rPr>
          <w:rFonts w:ascii="Arial" w:eastAsia="Arial" w:hAnsi="Arial" w:cs="Arial"/>
          <w:b/>
          <w:color w:val="222222"/>
          <w:sz w:val="22"/>
          <w:szCs w:val="22"/>
          <w:u w:val="single"/>
        </w:rPr>
        <w:t>Interfaz de “</w:t>
      </w:r>
      <w:r>
        <w:rPr>
          <w:rFonts w:ascii="Arial" w:eastAsia="Arial" w:hAnsi="Arial" w:cs="Arial"/>
          <w:b/>
          <w:color w:val="222222"/>
          <w:sz w:val="22"/>
          <w:szCs w:val="22"/>
          <w:u w:val="single"/>
        </w:rPr>
        <w:t>Envíos</w:t>
      </w:r>
      <w:r w:rsidRPr="00AD6F2A">
        <w:rPr>
          <w:rFonts w:ascii="Arial" w:eastAsia="Arial" w:hAnsi="Arial" w:cs="Arial"/>
          <w:b/>
          <w:color w:val="222222"/>
          <w:sz w:val="22"/>
          <w:szCs w:val="22"/>
          <w:u w:val="single"/>
        </w:rPr>
        <w:t>”:</w:t>
      </w:r>
    </w:p>
    <w:p w14:paraId="0E45C0B6" w14:textId="77777777" w:rsidR="00667AD2" w:rsidRDefault="00667AD2" w:rsidP="00667AD2">
      <w:pPr>
        <w:spacing w:before="100" w:after="100"/>
        <w:jc w:val="center"/>
      </w:pPr>
    </w:p>
    <w:p w14:paraId="2369E870" w14:textId="6820095A" w:rsidR="00AD6F2A" w:rsidRDefault="00890BC3" w:rsidP="00667AD2">
      <w:pPr>
        <w:spacing w:before="100" w:after="100"/>
        <w:jc w:val="center"/>
      </w:pPr>
      <w:r>
        <w:rPr>
          <w:noProof/>
          <w:lang w:val="es-ES" w:eastAsia="es-ES"/>
        </w:rPr>
        <w:drawing>
          <wp:inline distT="0" distB="0" distL="0" distR="0" wp14:anchorId="1B694C15" wp14:editId="46E78F36">
            <wp:extent cx="5316855" cy="2985829"/>
            <wp:effectExtent l="19050" t="19050" r="17145" b="24130"/>
            <wp:docPr id="201731295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628" cy="29890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13AB1F" w14:textId="0E9D7E4F" w:rsidR="00667AD2" w:rsidRDefault="00667AD2" w:rsidP="00667AD2">
      <w:pPr>
        <w:spacing w:before="100" w:after="100"/>
        <w:jc w:val="center"/>
      </w:pPr>
    </w:p>
    <w:p w14:paraId="4B03599E" w14:textId="2325204E" w:rsidR="00E7649B" w:rsidRDefault="00E7649B" w:rsidP="00667AD2">
      <w:pPr>
        <w:spacing w:before="100" w:after="100"/>
        <w:jc w:val="center"/>
      </w:pPr>
    </w:p>
    <w:p w14:paraId="62550E73" w14:textId="77777777" w:rsidR="00E7649B" w:rsidRDefault="00E7649B" w:rsidP="00667AD2">
      <w:pPr>
        <w:spacing w:before="100" w:after="100"/>
        <w:jc w:val="center"/>
      </w:pPr>
    </w:p>
    <w:p w14:paraId="5EAA8CC6" w14:textId="132A137B" w:rsidR="00667AD2" w:rsidRDefault="00667AD2" w:rsidP="00667AD2">
      <w:pPr>
        <w:spacing w:before="100" w:after="100"/>
        <w:jc w:val="center"/>
      </w:pPr>
    </w:p>
    <w:p w14:paraId="2C8EA0EA" w14:textId="37CA5618" w:rsidR="00667AD2" w:rsidRPr="00AD6F2A" w:rsidRDefault="00667AD2" w:rsidP="00667AD2">
      <w:pPr>
        <w:spacing w:before="100" w:after="100"/>
        <w:rPr>
          <w:rFonts w:ascii="Arial" w:eastAsia="Arial" w:hAnsi="Arial" w:cs="Arial"/>
          <w:b/>
          <w:color w:val="222222"/>
          <w:sz w:val="22"/>
          <w:szCs w:val="22"/>
          <w:u w:val="single"/>
        </w:rPr>
      </w:pPr>
      <w:r w:rsidRPr="00AD6F2A">
        <w:rPr>
          <w:rFonts w:ascii="Arial" w:eastAsia="Arial" w:hAnsi="Arial" w:cs="Arial"/>
          <w:b/>
          <w:color w:val="222222"/>
          <w:sz w:val="22"/>
          <w:szCs w:val="22"/>
          <w:u w:val="single"/>
        </w:rPr>
        <w:lastRenderedPageBreak/>
        <w:t>Interfaz de “</w:t>
      </w:r>
      <w:r>
        <w:rPr>
          <w:rFonts w:ascii="Arial" w:eastAsia="Arial" w:hAnsi="Arial" w:cs="Arial"/>
          <w:b/>
          <w:color w:val="222222"/>
          <w:sz w:val="22"/>
          <w:szCs w:val="22"/>
          <w:u w:val="single"/>
        </w:rPr>
        <w:t>Vehículos</w:t>
      </w:r>
      <w:r w:rsidRPr="00AD6F2A">
        <w:rPr>
          <w:rFonts w:ascii="Arial" w:eastAsia="Arial" w:hAnsi="Arial" w:cs="Arial"/>
          <w:b/>
          <w:color w:val="222222"/>
          <w:sz w:val="22"/>
          <w:szCs w:val="22"/>
          <w:u w:val="single"/>
        </w:rPr>
        <w:t>”:</w:t>
      </w:r>
    </w:p>
    <w:p w14:paraId="503A1286" w14:textId="77777777" w:rsidR="00667AD2" w:rsidRDefault="00667AD2" w:rsidP="00667AD2">
      <w:pPr>
        <w:spacing w:before="100" w:after="100"/>
        <w:jc w:val="center"/>
      </w:pPr>
    </w:p>
    <w:p w14:paraId="51779418" w14:textId="46A5B21B" w:rsidR="00AD6F2A" w:rsidRDefault="00563B6A" w:rsidP="00667AD2">
      <w:pPr>
        <w:spacing w:before="100" w:after="100"/>
        <w:jc w:val="center"/>
      </w:pPr>
      <w:r>
        <w:rPr>
          <w:noProof/>
          <w:lang w:val="es-ES" w:eastAsia="es-ES"/>
        </w:rPr>
        <w:drawing>
          <wp:inline distT="0" distB="0" distL="0" distR="0" wp14:anchorId="3360AF9B" wp14:editId="1951A7D6">
            <wp:extent cx="5314950" cy="2984758"/>
            <wp:effectExtent l="19050" t="19050" r="19050" b="25400"/>
            <wp:docPr id="166658087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536" cy="29946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AEA11B" w14:textId="77777777" w:rsidR="00667AD2" w:rsidRDefault="00667AD2" w:rsidP="00667AD2">
      <w:pPr>
        <w:spacing w:before="100" w:after="100"/>
        <w:jc w:val="center"/>
      </w:pPr>
    </w:p>
    <w:p w14:paraId="6B78E8A0" w14:textId="387EB728" w:rsidR="00667AD2" w:rsidRPr="00667AD2" w:rsidRDefault="00667AD2" w:rsidP="00667AD2">
      <w:pPr>
        <w:spacing w:before="100" w:after="100"/>
        <w:rPr>
          <w:rFonts w:ascii="Arial" w:eastAsia="Arial" w:hAnsi="Arial" w:cs="Arial"/>
          <w:b/>
          <w:color w:val="222222"/>
          <w:sz w:val="22"/>
          <w:szCs w:val="22"/>
          <w:u w:val="single"/>
        </w:rPr>
      </w:pPr>
      <w:r w:rsidRPr="00AD6F2A">
        <w:rPr>
          <w:rFonts w:ascii="Arial" w:eastAsia="Arial" w:hAnsi="Arial" w:cs="Arial"/>
          <w:b/>
          <w:color w:val="222222"/>
          <w:sz w:val="22"/>
          <w:szCs w:val="22"/>
          <w:u w:val="single"/>
        </w:rPr>
        <w:t>Interfaz de “</w:t>
      </w:r>
      <w:r>
        <w:rPr>
          <w:rFonts w:ascii="Arial" w:eastAsia="Arial" w:hAnsi="Arial" w:cs="Arial"/>
          <w:b/>
          <w:color w:val="222222"/>
          <w:sz w:val="22"/>
          <w:szCs w:val="22"/>
          <w:u w:val="single"/>
        </w:rPr>
        <w:t>Mi cuenta</w:t>
      </w:r>
      <w:r w:rsidRPr="00AD6F2A">
        <w:rPr>
          <w:rFonts w:ascii="Arial" w:eastAsia="Arial" w:hAnsi="Arial" w:cs="Arial"/>
          <w:b/>
          <w:color w:val="222222"/>
          <w:sz w:val="22"/>
          <w:szCs w:val="22"/>
          <w:u w:val="single"/>
        </w:rPr>
        <w:t>”:</w:t>
      </w:r>
    </w:p>
    <w:p w14:paraId="5F23E0C6" w14:textId="77777777" w:rsidR="00AD6F2A" w:rsidRDefault="00AD6F2A" w:rsidP="00AD6F2A">
      <w:pPr>
        <w:spacing w:before="100" w:after="100"/>
      </w:pPr>
    </w:p>
    <w:p w14:paraId="4A96CEA1" w14:textId="0101D930" w:rsidR="003103D5" w:rsidRDefault="00890BC3" w:rsidP="00667AD2">
      <w:pPr>
        <w:spacing w:before="100" w:after="100"/>
        <w:jc w:val="center"/>
      </w:pPr>
      <w:r>
        <w:rPr>
          <w:noProof/>
          <w:lang w:val="es-ES" w:eastAsia="es-ES"/>
        </w:rPr>
        <w:drawing>
          <wp:inline distT="0" distB="0" distL="0" distR="0" wp14:anchorId="4630AF87" wp14:editId="6C9B46C8">
            <wp:extent cx="5353050" cy="3006154"/>
            <wp:effectExtent l="19050" t="19050" r="19050" b="22860"/>
            <wp:docPr id="123914455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968" cy="30201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5C6E0" w14:textId="77777777" w:rsidR="00667AD2" w:rsidRDefault="00667AD2" w:rsidP="00667AD2">
      <w:pPr>
        <w:spacing w:before="100" w:after="100"/>
        <w:jc w:val="center"/>
      </w:pPr>
    </w:p>
    <w:p w14:paraId="1681D55A" w14:textId="77777777" w:rsidR="003103D5" w:rsidRDefault="00C17BD1">
      <w:pPr>
        <w:spacing w:after="200" w:line="300" w:lineRule="auto"/>
        <w:ind w:firstLine="720"/>
        <w:jc w:val="both"/>
      </w:pPr>
      <w:r>
        <w:rPr>
          <w:rFonts w:ascii="Arial" w:eastAsia="Arial" w:hAnsi="Arial" w:cs="Arial"/>
          <w:color w:val="222222"/>
          <w:sz w:val="22"/>
          <w:szCs w:val="22"/>
        </w:rPr>
        <w:t>La pantalla de Bienvenida presenta el logo y un acceso directo a Iniciar sesión; la pantalla de Iniciar sesión pide el ID de usuario y la contraseña; y el Menú principal organiza la navegación hacia Clientes, Pedidos, Envíos y Vehículos, junto con tarjetas de resumen de la actividad.</w:t>
      </w:r>
    </w:p>
    <w:p w14:paraId="0DE28F87" w14:textId="77777777" w:rsidR="003103D5" w:rsidRDefault="00C17BD1">
      <w:pPr>
        <w:pStyle w:val="Ttulo1"/>
        <w:pBdr>
          <w:bottom w:val="single" w:sz="6" w:space="4" w:color="1069C5"/>
        </w:pBdr>
        <w:spacing w:before="420" w:after="200"/>
      </w:pPr>
      <w:r>
        <w:rPr>
          <w:rFonts w:ascii="Arial" w:eastAsia="Arial" w:hAnsi="Arial" w:cs="Arial"/>
          <w:b/>
          <w:bCs/>
          <w:color w:val="1069C5"/>
          <w:sz w:val="30"/>
          <w:szCs w:val="30"/>
        </w:rPr>
        <w:lastRenderedPageBreak/>
        <w:t>6. Conclusión</w:t>
      </w:r>
    </w:p>
    <w:p w14:paraId="47A8D980" w14:textId="77777777" w:rsidR="003103D5" w:rsidRDefault="00C17BD1">
      <w:pPr>
        <w:spacing w:after="200" w:line="300" w:lineRule="auto"/>
        <w:ind w:firstLine="720"/>
        <w:jc w:val="both"/>
      </w:pP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Routify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plantea una salida concreta al problema de partida: tomar un sistema de gestión rígido y anticuado y reemplazarlo por una plataforma dividida en piezas independientes, comunicadas a través de un único punto de entrada. La separación entre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Auth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, Logística,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Shared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y Gateway hace que cada parte se pueda mantener, escalar o reemplazar sin arrastrar al resto del sistema, mientras que el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en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Blazor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Hybrid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permite llegar tanto a escritorio como a dispositivos móviles con una misma base de código, todo bajo una misma ide</w:t>
      </w:r>
      <w:bookmarkStart w:id="0" w:name="_GoBack"/>
      <w:bookmarkEnd w:id="0"/>
      <w:r>
        <w:rPr>
          <w:rFonts w:ascii="Arial" w:eastAsia="Arial" w:hAnsi="Arial" w:cs="Arial"/>
          <w:color w:val="222222"/>
          <w:sz w:val="22"/>
          <w:szCs w:val="22"/>
        </w:rPr>
        <w:t>ntidad visual y una misma forma de trabajar en el repositorio.</w:t>
      </w:r>
    </w:p>
    <w:sectPr w:rsidR="003103D5" w:rsidSect="00E7649B">
      <w:headerReference w:type="default" r:id="rId20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875604" w14:textId="77777777" w:rsidR="005B4F51" w:rsidRDefault="005B4F51">
      <w:r>
        <w:separator/>
      </w:r>
    </w:p>
  </w:endnote>
  <w:endnote w:type="continuationSeparator" w:id="0">
    <w:p w14:paraId="05875A0A" w14:textId="77777777" w:rsidR="005B4F51" w:rsidRDefault="005B4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D78F7E" w14:textId="03F02116" w:rsidR="00890BC3" w:rsidRDefault="00890BC3">
    <w:pPr>
      <w:pStyle w:val="Piedepgina"/>
    </w:pPr>
    <w:r>
      <w:rPr>
        <w:color w:val="156082" w:themeColor="accent1"/>
        <w:lang w:val="es-ES"/>
      </w:rPr>
      <w:ptab w:relativeTo="margin" w:alignment="right" w:leader="none"/>
    </w:r>
    <w:r>
      <w:rPr>
        <w:noProof/>
        <w:color w:val="156082" w:themeColor="accent1"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A57669" wp14:editId="23BC8D1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5A4E5617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  <w:lang w:val="es-ES"/>
      </w:rPr>
      <w:t xml:space="preserve"> </w:t>
    </w:r>
    <w:r w:rsidRPr="00890BC3">
      <w:rPr>
        <w:rFonts w:ascii="Arial" w:eastAsiaTheme="minorEastAsia" w:hAnsi="Arial" w:cs="Arial"/>
        <w:color w:val="000000" w:themeColor="text1"/>
        <w:sz w:val="22"/>
        <w:szCs w:val="22"/>
      </w:rPr>
      <w:fldChar w:fldCharType="begin"/>
    </w:r>
    <w:r w:rsidRPr="00890BC3">
      <w:rPr>
        <w:rFonts w:ascii="Arial" w:hAnsi="Arial" w:cs="Arial"/>
        <w:color w:val="000000" w:themeColor="text1"/>
        <w:sz w:val="22"/>
        <w:szCs w:val="22"/>
      </w:rPr>
      <w:instrText>PAGE    \* MERGEFORMAT</w:instrText>
    </w:r>
    <w:r w:rsidRPr="00890BC3">
      <w:rPr>
        <w:rFonts w:ascii="Arial" w:eastAsiaTheme="minorEastAsia" w:hAnsi="Arial" w:cs="Arial"/>
        <w:color w:val="000000" w:themeColor="text1"/>
        <w:sz w:val="22"/>
        <w:szCs w:val="22"/>
      </w:rPr>
      <w:fldChar w:fldCharType="separate"/>
    </w:r>
    <w:r w:rsidR="00E7649B" w:rsidRPr="00E7649B">
      <w:rPr>
        <w:rFonts w:ascii="Arial" w:eastAsiaTheme="majorEastAsia" w:hAnsi="Arial" w:cs="Arial"/>
        <w:noProof/>
        <w:color w:val="000000" w:themeColor="text1"/>
        <w:sz w:val="22"/>
        <w:szCs w:val="22"/>
        <w:lang w:val="es-ES"/>
      </w:rPr>
      <w:t>12</w:t>
    </w:r>
    <w:r w:rsidRPr="00890BC3">
      <w:rPr>
        <w:rFonts w:ascii="Arial" w:eastAsiaTheme="majorEastAsia" w:hAnsi="Arial" w:cs="Arial"/>
        <w:color w:val="000000" w:themeColor="text1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E80838" w14:textId="77777777" w:rsidR="005B4F51" w:rsidRDefault="005B4F51">
      <w:r>
        <w:separator/>
      </w:r>
    </w:p>
  </w:footnote>
  <w:footnote w:type="continuationSeparator" w:id="0">
    <w:p w14:paraId="6730BA26" w14:textId="77777777" w:rsidR="005B4F51" w:rsidRDefault="005B4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04A2C5" w14:textId="2FD9A7D1" w:rsidR="003103D5" w:rsidRDefault="003103D5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17B0A1" w14:textId="4C07CFDF" w:rsidR="003103D5" w:rsidRDefault="003103D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84314"/>
    <w:multiLevelType w:val="hybridMultilevel"/>
    <w:tmpl w:val="9C18B372"/>
    <w:lvl w:ilvl="0" w:tplc="9DDC7C5C">
      <w:start w:val="1"/>
      <w:numFmt w:val="bullet"/>
      <w:lvlText w:val="●"/>
      <w:lvlJc w:val="left"/>
      <w:pPr>
        <w:ind w:left="720" w:hanging="360"/>
      </w:pPr>
    </w:lvl>
    <w:lvl w:ilvl="1" w:tplc="65FC0086">
      <w:start w:val="1"/>
      <w:numFmt w:val="bullet"/>
      <w:lvlText w:val="○"/>
      <w:lvlJc w:val="left"/>
      <w:pPr>
        <w:ind w:left="1440" w:hanging="360"/>
      </w:pPr>
    </w:lvl>
    <w:lvl w:ilvl="2" w:tplc="84CCEF64">
      <w:start w:val="1"/>
      <w:numFmt w:val="bullet"/>
      <w:lvlText w:val="■"/>
      <w:lvlJc w:val="left"/>
      <w:pPr>
        <w:ind w:left="2160" w:hanging="360"/>
      </w:pPr>
    </w:lvl>
    <w:lvl w:ilvl="3" w:tplc="6CA2E724">
      <w:start w:val="1"/>
      <w:numFmt w:val="bullet"/>
      <w:lvlText w:val="●"/>
      <w:lvlJc w:val="left"/>
      <w:pPr>
        <w:ind w:left="2880" w:hanging="360"/>
      </w:pPr>
    </w:lvl>
    <w:lvl w:ilvl="4" w:tplc="D6C623A2">
      <w:start w:val="1"/>
      <w:numFmt w:val="bullet"/>
      <w:lvlText w:val="○"/>
      <w:lvlJc w:val="left"/>
      <w:pPr>
        <w:ind w:left="3600" w:hanging="360"/>
      </w:pPr>
    </w:lvl>
    <w:lvl w:ilvl="5" w:tplc="79C87C12">
      <w:start w:val="1"/>
      <w:numFmt w:val="bullet"/>
      <w:lvlText w:val="■"/>
      <w:lvlJc w:val="left"/>
      <w:pPr>
        <w:ind w:left="4320" w:hanging="360"/>
      </w:pPr>
    </w:lvl>
    <w:lvl w:ilvl="6" w:tplc="28D0095C">
      <w:start w:val="1"/>
      <w:numFmt w:val="bullet"/>
      <w:lvlText w:val="●"/>
      <w:lvlJc w:val="left"/>
      <w:pPr>
        <w:ind w:left="5040" w:hanging="360"/>
      </w:pPr>
    </w:lvl>
    <w:lvl w:ilvl="7" w:tplc="6748ABEC">
      <w:start w:val="1"/>
      <w:numFmt w:val="bullet"/>
      <w:lvlText w:val="●"/>
      <w:lvlJc w:val="left"/>
      <w:pPr>
        <w:ind w:left="5760" w:hanging="360"/>
      </w:pPr>
    </w:lvl>
    <w:lvl w:ilvl="8" w:tplc="E8EAFE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B65678"/>
    <w:multiLevelType w:val="hybridMultilevel"/>
    <w:tmpl w:val="255CC6B2"/>
    <w:lvl w:ilvl="0" w:tplc="1ED88464">
      <w:start w:val="1"/>
      <w:numFmt w:val="bullet"/>
      <w:lvlText w:val="•"/>
      <w:lvlJc w:val="left"/>
      <w:pPr>
        <w:ind w:left="720" w:hanging="360"/>
      </w:pPr>
    </w:lvl>
    <w:lvl w:ilvl="1" w:tplc="9356E6E4">
      <w:numFmt w:val="decimal"/>
      <w:lvlText w:val=""/>
      <w:lvlJc w:val="left"/>
    </w:lvl>
    <w:lvl w:ilvl="2" w:tplc="5324E43C">
      <w:numFmt w:val="decimal"/>
      <w:lvlText w:val=""/>
      <w:lvlJc w:val="left"/>
    </w:lvl>
    <w:lvl w:ilvl="3" w:tplc="84F8AF28">
      <w:numFmt w:val="decimal"/>
      <w:lvlText w:val=""/>
      <w:lvlJc w:val="left"/>
    </w:lvl>
    <w:lvl w:ilvl="4" w:tplc="FFE0BDA4">
      <w:numFmt w:val="decimal"/>
      <w:lvlText w:val=""/>
      <w:lvlJc w:val="left"/>
    </w:lvl>
    <w:lvl w:ilvl="5" w:tplc="E020BC52">
      <w:numFmt w:val="decimal"/>
      <w:lvlText w:val=""/>
      <w:lvlJc w:val="left"/>
    </w:lvl>
    <w:lvl w:ilvl="6" w:tplc="0D98F8EA">
      <w:numFmt w:val="decimal"/>
      <w:lvlText w:val=""/>
      <w:lvlJc w:val="left"/>
    </w:lvl>
    <w:lvl w:ilvl="7" w:tplc="AB5EE8EC">
      <w:numFmt w:val="decimal"/>
      <w:lvlText w:val=""/>
      <w:lvlJc w:val="left"/>
    </w:lvl>
    <w:lvl w:ilvl="8" w:tplc="56406B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3D5"/>
    <w:rsid w:val="00111B1E"/>
    <w:rsid w:val="003103D5"/>
    <w:rsid w:val="003254CE"/>
    <w:rsid w:val="00563B6A"/>
    <w:rsid w:val="005B4F51"/>
    <w:rsid w:val="005D2CC5"/>
    <w:rsid w:val="00667AD2"/>
    <w:rsid w:val="00890BC3"/>
    <w:rsid w:val="00A87FF5"/>
    <w:rsid w:val="00AD6F2A"/>
    <w:rsid w:val="00BD5C2B"/>
    <w:rsid w:val="00C17BD1"/>
    <w:rsid w:val="00CD745B"/>
    <w:rsid w:val="00D210CA"/>
    <w:rsid w:val="00E7649B"/>
    <w:rsid w:val="00F5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E79AEF"/>
  <w15:docId w15:val="{088FC653-214D-4834-91FD-9891125A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AD2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90BC3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0BC3"/>
  </w:style>
  <w:style w:type="paragraph" w:styleId="Piedepgina">
    <w:name w:val="footer"/>
    <w:basedOn w:val="Normal"/>
    <w:link w:val="PiedepginaCar"/>
    <w:uiPriority w:val="99"/>
    <w:unhideWhenUsed/>
    <w:rsid w:val="00890BC3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77123-6B2B-4BC9-B740-CD93E0FDD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1725</Words>
  <Characters>9490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Facundo Ezequiel Flores</cp:lastModifiedBy>
  <cp:revision>10</cp:revision>
  <dcterms:created xsi:type="dcterms:W3CDTF">2026-09-25T19:03:00Z</dcterms:created>
  <dcterms:modified xsi:type="dcterms:W3CDTF">2026-09-26T07:49:00Z</dcterms:modified>
</cp:coreProperties>
</file>