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F5496"/>
          <w:sz w:val="32"/>
          <w:szCs w:val="32"/>
        </w:rPr>
        <w:t xml:space="preserve">Sales Forecasting &amp; Demand Intelligence</w:t>
      </w:r>
    </w:p>
    <w:p>
      <w:pPr>
        <w:spacing w:after="20"/>
      </w:pPr>
      <w:r>
        <w:rPr>
          <w:b/>
          <w:bCs/>
          <w:color w:val="595959"/>
          <w:sz w:val="24"/>
          <w:szCs w:val="24"/>
        </w:rPr>
        <w:t xml:space="preserve">Executive Business Report</w:t>
      </w:r>
    </w:p>
    <w:p>
      <w:pPr>
        <w:pBdr>
          <w:bottom w:val="single" w:color="2F5496" w:sz="6"/>
        </w:pBdr>
        <w:spacing w:after="200"/>
      </w:pPr>
      <w:r>
        <w:rPr>
          <w:i/>
          <w:iCs/>
          <w:color w:val="808080"/>
          <w:sz w:val="18"/>
          <w:szCs w:val="18"/>
        </w:rPr>
        <w:t xml:space="preserve">Prepared for: Head of Supply Chain &amp; CFO   |   Data Period: 2015-2018</w:t>
      </w:r>
    </w:p>
    <w:p>
      <w:pPr>
        <w:pStyle w:val="Heading1"/>
        <w:spacing w:after="120" w:before="240"/>
      </w:pPr>
      <w:r>
        <w:t xml:space="preserve">Executive Summary</w:t>
      </w:r>
    </w:p>
    <w:p>
      <w:pPr>
        <w:spacing w:after="100"/>
      </w:pPr>
      <w:r>
        <w:t xml:space="preserve">Our company's sales have grown steadily over the past four years, roughly doubling in strength from 2015 to 2018, with a clear and predictable pattern: sales surge every September and again every November-December holiday season. We built and tested three different forecasting approaches and found that a machine-learning model (XGBoost) most accurately predicts near-term demand, though all models still underestimate just how large the November spike can be. We also identified 21 unusual sales weeks worth investigating, and grouped our 17 product sub-categories into three clear demand patterns to guide stocking decisions. The biggest risk to flag: with limited historical data, our forecasting tools reliably predict the shape of demand but consistently underestimate its most extreme peaks - manual buffer stock ahead of Q4 is strongly recommended.</w:t>
      </w:r>
    </w:p>
    <w:p>
      <w:pPr>
        <w:pStyle w:val="Heading1"/>
        <w:spacing w:after="120" w:before="240"/>
      </w:pPr>
      <w:r>
        <w:t xml:space="preserve">Key Findings from Analysis</w:t>
      </w:r>
    </w:p>
    <w:p>
      <w:pPr>
        <w:pStyle w:val="ListParagraph"/>
        <w:numPr>
          <w:ilvl w:val="0"/>
          <w:numId w:val="1"/>
        </w:numPr>
        <w:spacing w:after="60"/>
      </w:pPr>
      <w:r>
        <w:t xml:space="preserve">Technology is our top revenue-generating category ($827K), narrowly ahead of Furniture ($729K) and Office Supplies ($705K).</w:t>
      </w:r>
    </w:p>
    <w:p>
      <w:pPr>
        <w:pStyle w:val="ListParagraph"/>
        <w:numPr>
          <w:ilvl w:val="0"/>
          <w:numId w:val="1"/>
        </w:numPr>
        <w:spacing w:after="60"/>
      </w:pPr>
      <w:r>
        <w:t xml:space="preserve">The East region delivers the most consistent, predictable year-over-year growth; West, Central, and South show far more volatile swings.</w:t>
      </w:r>
    </w:p>
    <w:p>
      <w:pPr>
        <w:pStyle w:val="ListParagraph"/>
        <w:numPr>
          <w:ilvl w:val="0"/>
          <w:numId w:val="1"/>
        </w:numPr>
        <w:spacing w:after="60"/>
      </w:pPr>
      <w:r>
        <w:t xml:space="preserve">Shipping times are consistent company-wide (~4 days average), with less than a 4-hour difference between the fastest and slowest region - not a current operational concern.</w:t>
      </w:r>
    </w:p>
    <w:p>
      <w:pPr>
        <w:pStyle w:val="ListParagraph"/>
        <w:numPr>
          <w:ilvl w:val="0"/>
          <w:numId w:val="1"/>
        </w:numPr>
        <w:spacing w:after="60"/>
      </w:pPr>
      <w:r>
        <w:t xml:space="preserve">Strong, repeatable seasonality exists: November and December are consistently the two highest-selling months every single year, with September a reliable third-place spike.</w:t>
      </w:r>
    </w:p>
    <w:p>
      <w:pPr>
        <w:pStyle w:val="ListParagraph"/>
        <w:numPr>
          <w:ilvl w:val="0"/>
          <w:numId w:val="1"/>
        </w:numPr>
        <w:spacing w:after="60"/>
      </w:pPr>
      <w:r>
        <w:t xml:space="preserve">Sales are growing at a steady underlying pace, in addition to the seasonal swings - the business itself is expanding year over year.</w:t>
      </w:r>
    </w:p>
    <w:p>
      <w:pPr>
        <w:pStyle w:val="Heading1"/>
        <w:spacing w:after="120" w:before="240"/>
      </w:pPr>
      <w:r>
        <w:t xml:space="preserve">3-Month Sales Forecast</w:t>
      </w:r>
    </w:p>
    <w:p>
      <w:pPr>
        <w:spacing w:after="100"/>
      </w:pPr>
      <w:r>
        <w:t xml:space="preserve">We tested three forecasting methods and selected XGBoost (a machine-learning approach) for production use, as it produced the most accurate results on recent test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shd w:fill="2F5496" w:color="auto" w:val="clear"/>
          </w:tcPr>
          <w:p>
            <w:r>
              <w:rPr>
                <w:b/>
                <w:bCs/>
                <w:color w:val="FFFFFF"/>
                <w:sz w:val="18"/>
                <w:szCs w:val="18"/>
              </w:rPr>
              <w:t xml:space="preserve">Month</w:t>
            </w:r>
          </w:p>
        </w:tc>
        <w:tc>
          <w:tcPr>
            <w:tcW w:type="dxa" w:w="3360"/>
            <w:shd w:fill="2F5496" w:color="auto" w:val="clear"/>
          </w:tcPr>
          <w:p>
            <w:r>
              <w:rPr>
                <w:b/>
                <w:bCs/>
                <w:color w:val="FFFFFF"/>
                <w:sz w:val="18"/>
                <w:szCs w:val="18"/>
              </w:rPr>
              <w:t xml:space="preserve">Forecast</w:t>
            </w:r>
          </w:p>
        </w:tc>
        <w:tc>
          <w:tcPr>
            <w:tcW w:type="dxa" w:w="3360"/>
            <w:shd w:fill="2F5496" w:color="auto" w:val="clear"/>
          </w:tcPr>
          <w:p>
            <w:r>
              <w:rPr>
                <w:b/>
                <w:bCs/>
                <w:color w:val="FFFFFF"/>
                <w:sz w:val="18"/>
                <w:szCs w:val="18"/>
              </w:rPr>
              <w:t xml:space="preserve">Confidence Range</w:t>
            </w:r>
          </w:p>
        </w:tc>
      </w:tr>
      <w:tr>
        <w:tc>
          <w:tcPr>
            <w:tcW w:type="dxa" w:w="3360"/>
          </w:tcPr>
          <w:p>
            <w:r>
              <w:rPr>
                <w:sz w:val="18"/>
                <w:szCs w:val="18"/>
              </w:rPr>
              <w:t xml:space="preserve">October</w:t>
            </w:r>
          </w:p>
        </w:tc>
        <w:tc>
          <w:tcPr>
            <w:tcW w:type="dxa" w:w="3360"/>
          </w:tcPr>
          <w:p>
            <w:r>
              <w:rPr>
                <w:sz w:val="18"/>
                <w:szCs w:val="18"/>
              </w:rPr>
              <w:t xml:space="preserve">~$68,100</w:t>
            </w:r>
          </w:p>
        </w:tc>
        <w:tc>
          <w:tcPr>
            <w:tcW w:type="dxa" w:w="3360"/>
          </w:tcPr>
          <w:p>
            <w:r>
              <w:rPr>
                <w:sz w:val="18"/>
                <w:szCs w:val="18"/>
              </w:rPr>
              <w:t xml:space="preserve">Moderate confidence</w:t>
            </w:r>
          </w:p>
        </w:tc>
      </w:tr>
      <w:tr>
        <w:tc>
          <w:tcPr>
            <w:tcW w:type="dxa" w:w="3360"/>
          </w:tcPr>
          <w:p>
            <w:r>
              <w:rPr>
                <w:sz w:val="18"/>
                <w:szCs w:val="18"/>
              </w:rPr>
              <w:t xml:space="preserve">November</w:t>
            </w:r>
          </w:p>
        </w:tc>
        <w:tc>
          <w:tcPr>
            <w:tcW w:type="dxa" w:w="3360"/>
          </w:tcPr>
          <w:p>
            <w:r>
              <w:rPr>
                <w:sz w:val="18"/>
                <w:szCs w:val="18"/>
              </w:rPr>
              <w:t xml:space="preserve">~$87,600</w:t>
            </w:r>
          </w:p>
        </w:tc>
        <w:tc>
          <w:tcPr>
            <w:tcW w:type="dxa" w:w="3360"/>
          </w:tcPr>
          <w:p>
            <w:r>
              <w:rPr>
                <w:sz w:val="18"/>
                <w:szCs w:val="18"/>
              </w:rPr>
              <w:t xml:space="preserve">Likely understated - historically this month has surged higher</w:t>
            </w:r>
          </w:p>
        </w:tc>
      </w:tr>
      <w:tr>
        <w:tc>
          <w:tcPr>
            <w:tcW w:type="dxa" w:w="3360"/>
          </w:tcPr>
          <w:p>
            <w:r>
              <w:rPr>
                <w:sz w:val="18"/>
                <w:szCs w:val="18"/>
              </w:rPr>
              <w:t xml:space="preserve">December</w:t>
            </w:r>
          </w:p>
        </w:tc>
        <w:tc>
          <w:tcPr>
            <w:tcW w:type="dxa" w:w="3360"/>
          </w:tcPr>
          <w:p>
            <w:r>
              <w:rPr>
                <w:sz w:val="18"/>
                <w:szCs w:val="18"/>
              </w:rPr>
              <w:t xml:space="preserve">~$69,500</w:t>
            </w:r>
          </w:p>
        </w:tc>
        <w:tc>
          <w:tcPr>
            <w:tcW w:type="dxa" w:w="3360"/>
          </w:tcPr>
          <w:p>
            <w:r>
              <w:rPr>
                <w:sz w:val="18"/>
                <w:szCs w:val="18"/>
              </w:rPr>
              <w:t xml:space="preserve">Moderate confidence</w:t>
            </w:r>
          </w:p>
        </w:tc>
      </w:tr>
    </w:tbl>
    <w:p>
      <w:pPr>
        <w:spacing w:after="120"/>
      </w:pPr>
    </w:p>
    <w:p>
      <w:pPr>
        <w:spacing w:after="100"/>
      </w:pPr>
      <w:r>
        <w:t xml:space="preserve">In plain terms: we expect a solid uptick heading into the holiday season, but our models have a track record of underestimating just how big the November surge can be (in our test period, actual November sales reached $118,000 - well above any model's prediction). We recommend treating these forecasts as a reliable floor, not a ceiling, for holiday-season planning.</w:t>
      </w:r>
    </w:p>
    <w:p>
      <w:pPr>
        <w:pStyle w:val="Heading1"/>
        <w:spacing w:after="120" w:before="240"/>
      </w:pPr>
      <w:r>
        <w:t xml:space="preserve">Top 3 Anomalies Detected &amp; Likely Causes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shd w:fill="2F5496" w:color="auto" w:val="clear"/>
          </w:tcPr>
          <w:p>
            <w:r>
              <w:rPr>
                <w:b/>
                <w:bCs/>
                <w:color w:val="FFFFFF"/>
                <w:sz w:val="18"/>
                <w:szCs w:val="18"/>
              </w:rPr>
              <w:t xml:space="preserve">Date</w:t>
            </w:r>
          </w:p>
        </w:tc>
        <w:tc>
          <w:tcPr>
            <w:tcW w:type="dxa" w:w="3360"/>
            <w:shd w:fill="2F5496" w:color="auto" w:val="clear"/>
          </w:tcPr>
          <w:p>
            <w:r>
              <w:rPr>
                <w:b/>
                <w:bCs/>
                <w:color w:val="FFFFFF"/>
                <w:sz w:val="18"/>
                <w:szCs w:val="18"/>
              </w:rPr>
              <w:t xml:space="preserve">Sales Value</w:t>
            </w:r>
          </w:p>
        </w:tc>
        <w:tc>
          <w:tcPr>
            <w:tcW w:type="dxa" w:w="3360"/>
            <w:shd w:fill="2F5496" w:color="auto" w:val="clear"/>
          </w:tcPr>
          <w:p>
            <w:r>
              <w:rPr>
                <w:b/>
                <w:bCs/>
                <w:color w:val="FFFFFF"/>
                <w:sz w:val="18"/>
                <w:szCs w:val="18"/>
              </w:rPr>
              <w:t xml:space="preserve">Likely Cause</w:t>
            </w:r>
          </w:p>
        </w:tc>
      </w:tr>
      <w:tr>
        <w:tc>
          <w:tcPr>
            <w:tcW w:type="dxa" w:w="3360"/>
          </w:tcPr>
          <w:p>
            <w:r>
              <w:rPr>
                <w:sz w:val="18"/>
                <w:szCs w:val="18"/>
              </w:rPr>
              <w:t xml:space="preserve">Dec 2, 2018</w:t>
            </w:r>
          </w:p>
        </w:tc>
        <w:tc>
          <w:tcPr>
            <w:tcW w:type="dxa" w:w="3360"/>
          </w:tcPr>
          <w:p>
            <w:r>
              <w:rPr>
                <w:sz w:val="18"/>
                <w:szCs w:val="18"/>
              </w:rPr>
              <w:t xml:space="preserve">$35,999 (week)</w:t>
            </w:r>
          </w:p>
        </w:tc>
        <w:tc>
          <w:tcPr>
            <w:tcW w:type="dxa" w:w="3360"/>
          </w:tcPr>
          <w:p>
            <w:r>
              <w:rPr>
                <w:sz w:val="18"/>
                <w:szCs w:val="18"/>
              </w:rPr>
              <w:t xml:space="preserve">Cyber Monday / early holiday purchasing surge - highest spike on record</w:t>
            </w:r>
          </w:p>
        </w:tc>
      </w:tr>
      <w:tr>
        <w:tc>
          <w:tcPr>
            <w:tcW w:type="dxa" w:w="3360"/>
          </w:tcPr>
          <w:p>
            <w:r>
              <w:rPr>
                <w:sz w:val="18"/>
                <w:szCs w:val="18"/>
              </w:rPr>
              <w:t xml:space="preserve">Mar 22, 2015</w:t>
            </w:r>
          </w:p>
        </w:tc>
        <w:tc>
          <w:tcPr>
            <w:tcW w:type="dxa" w:w="3360"/>
          </w:tcPr>
          <w:p>
            <w:r>
              <w:rPr>
                <w:sz w:val="18"/>
                <w:szCs w:val="18"/>
              </w:rPr>
              <w:t xml:space="preserve">$37,704 (week)</w:t>
            </w:r>
          </w:p>
        </w:tc>
        <w:tc>
          <w:tcPr>
            <w:tcW w:type="dxa" w:w="3360"/>
          </w:tcPr>
          <w:p>
            <w:r>
              <w:rPr>
                <w:sz w:val="18"/>
                <w:szCs w:val="18"/>
              </w:rPr>
              <w:t xml:space="preserve">Likely a large one-off bulk or corporate order early in company history</w:t>
            </w:r>
          </w:p>
        </w:tc>
      </w:tr>
      <w:tr>
        <w:tc>
          <w:tcPr>
            <w:tcW w:type="dxa" w:w="3360"/>
          </w:tcPr>
          <w:p>
            <w:r>
              <w:rPr>
                <w:sz w:val="18"/>
                <w:szCs w:val="18"/>
              </w:rPr>
              <w:t xml:space="preserve">Nov 2016-2018 (multiple)</w:t>
            </w:r>
          </w:p>
        </w:tc>
        <w:tc>
          <w:tcPr>
            <w:tcW w:type="dxa" w:w="3360"/>
          </w:tcPr>
          <w:p>
            <w:r>
              <w:rPr>
                <w:sz w:val="18"/>
                <w:szCs w:val="18"/>
              </w:rPr>
              <w:t xml:space="preserve">$27,000-$30,500</w:t>
            </w:r>
          </w:p>
        </w:tc>
        <w:tc>
          <w:tcPr>
            <w:tcW w:type="dxa" w:w="3360"/>
          </w:tcPr>
          <w:p>
            <w:r>
              <w:rPr>
                <w:sz w:val="18"/>
                <w:szCs w:val="18"/>
              </w:rPr>
              <w:t xml:space="preserve">Black Friday / Thanksgiving week holiday shopping, recurring annually</w:t>
            </w:r>
          </w:p>
        </w:tc>
      </w:tr>
    </w:tbl>
    <w:p>
      <w:pPr>
        <w:spacing w:after="120"/>
      </w:pPr>
    </w:p>
    <w:p>
      <w:pPr>
        <w:spacing w:after="100"/>
      </w:pPr>
      <w:r>
        <w:t xml:space="preserve">We also found several unusually low weeks in early 2015, consistent with a new business ramping up its customer base rather than any operational problem.</w:t>
      </w:r>
    </w:p>
    <w:p>
      <w:pPr>
        <w:pageBreakBefore/>
      </w:pPr>
      <w:r>
        <w:br/>
        <w:t xml:space="preserve"/>
      </w:r>
    </w:p>
    <w:p>
      <w:pPr>
        <w:pStyle w:val="Heading1"/>
        <w:spacing w:after="120" w:before="240"/>
      </w:pPr>
      <w:r>
        <w:t xml:space="preserve">Product Demand Segmentation &amp; Stocking Strategy</w:t>
      </w:r>
    </w:p>
    <w:p>
      <w:pPr>
        <w:spacing w:after="100"/>
      </w:pPr>
      <w:r>
        <w:t xml:space="preserve">We grouped all 17 product sub-categories into three demand patterns based on sales volume, growth, volatility, and order value: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shd w:fill="2F5496" w:color="auto" w:val="clear"/>
          </w:tcPr>
          <w:p>
            <w:r>
              <w:rPr>
                <w:b/>
                <w:bCs/>
                <w:color w:val="FFFFFF"/>
                <w:sz w:val="18"/>
                <w:szCs w:val="18"/>
              </w:rPr>
              <w:t xml:space="preserve">Segment</w:t>
            </w:r>
          </w:p>
        </w:tc>
        <w:tc>
          <w:tcPr>
            <w:tcW w:type="dxa" w:w="3360"/>
            <w:shd w:fill="2F5496" w:color="auto" w:val="clear"/>
          </w:tcPr>
          <w:p>
            <w:r>
              <w:rPr>
                <w:b/>
                <w:bCs/>
                <w:color w:val="FFFFFF"/>
                <w:sz w:val="18"/>
                <w:szCs w:val="18"/>
              </w:rPr>
              <w:t xml:space="preserve">Examples</w:t>
            </w:r>
          </w:p>
        </w:tc>
        <w:tc>
          <w:tcPr>
            <w:tcW w:type="dxa" w:w="3360"/>
            <w:shd w:fill="2F5496" w:color="auto" w:val="clear"/>
          </w:tcPr>
          <w:p>
            <w:r>
              <w:rPr>
                <w:b/>
                <w:bCs/>
                <w:color w:val="FFFFFF"/>
                <w:sz w:val="18"/>
                <w:szCs w:val="18"/>
              </w:rPr>
              <w:t xml:space="preserve">Recommended Stocking Strategy</w:t>
            </w:r>
          </w:p>
        </w:tc>
      </w:tr>
      <w:tr>
        <w:tc>
          <w:tcPr>
            <w:tcW w:type="dxa" w:w="3360"/>
          </w:tcPr>
          <w:p>
            <w:r>
              <w:rPr>
                <w:sz w:val="18"/>
                <w:szCs w:val="18"/>
              </w:rPr>
              <w:t xml:space="preserve">High Growth, High Volatility Outlier</w:t>
            </w:r>
          </w:p>
        </w:tc>
        <w:tc>
          <w:tcPr>
            <w:tcW w:type="dxa" w:w="3360"/>
          </w:tcPr>
          <w:p>
            <w:r>
              <w:rPr>
                <w:sz w:val="18"/>
                <w:szCs w:val="18"/>
              </w:rPr>
              <w:t xml:space="preserve">Copiers</w:t>
            </w:r>
          </w:p>
        </w:tc>
        <w:tc>
          <w:tcPr>
            <w:tcW w:type="dxa" w:w="3360"/>
          </w:tcPr>
          <w:p>
            <w:r>
              <w:rPr>
                <w:sz w:val="18"/>
                <w:szCs w:val="18"/>
              </w:rPr>
              <w:t xml:space="preserve">Order-driven, not stock-driven; avoid large standing inventory; ensure fast supplier lead times</w:t>
            </w:r>
          </w:p>
        </w:tc>
      </w:tr>
      <w:tr>
        <w:tc>
          <w:tcPr>
            <w:tcW w:type="dxa" w:w="3360"/>
          </w:tcPr>
          <w:p>
            <w:r>
              <w:rPr>
                <w:sz w:val="18"/>
                <w:szCs w:val="18"/>
              </w:rPr>
              <w:t xml:space="preserve">Low Volume, Stable Demand (10 items)</w:t>
            </w:r>
          </w:p>
        </w:tc>
        <w:tc>
          <w:tcPr>
            <w:tcW w:type="dxa" w:w="3360"/>
          </w:tcPr>
          <w:p>
            <w:r>
              <w:rPr>
                <w:sz w:val="18"/>
                <w:szCs w:val="18"/>
              </w:rPr>
              <w:t xml:space="preserve">Accessories, Paper, Bookcases, Supplies, etc.</w:t>
            </w:r>
          </w:p>
        </w:tc>
        <w:tc>
          <w:tcPr>
            <w:tcW w:type="dxa" w:w="3360"/>
          </w:tcPr>
          <w:p>
            <w:r>
              <w:rPr>
                <w:sz w:val="18"/>
                <w:szCs w:val="18"/>
              </w:rPr>
              <w:t xml:space="preserve">Standard reorder-point inventory; low risk, forecasting works reliably here</w:t>
            </w:r>
          </w:p>
        </w:tc>
      </w:tr>
      <w:tr>
        <w:tc>
          <w:tcPr>
            <w:tcW w:type="dxa" w:w="3360"/>
          </w:tcPr>
          <w:p>
            <w:r>
              <w:rPr>
                <w:sz w:val="18"/>
                <w:szCs w:val="18"/>
              </w:rPr>
              <w:t xml:space="preserve">High Volume, High-Value Core (6 items)</w:t>
            </w:r>
          </w:p>
        </w:tc>
        <w:tc>
          <w:tcPr>
            <w:tcW w:type="dxa" w:w="3360"/>
          </w:tcPr>
          <w:p>
            <w:r>
              <w:rPr>
                <w:sz w:val="18"/>
                <w:szCs w:val="18"/>
              </w:rPr>
              <w:t xml:space="preserve">Chairs, Tables, Phones, Storage, Machines, Binders</w:t>
            </w:r>
          </w:p>
        </w:tc>
        <w:tc>
          <w:tcPr>
            <w:tcW w:type="dxa" w:w="3360"/>
          </w:tcPr>
          <w:p>
            <w:r>
              <w:rPr>
                <w:sz w:val="18"/>
                <w:szCs w:val="18"/>
              </w:rPr>
              <w:t xml:space="preserve">Highest forecasting priority and largest safety-stock buffers; extra Q4 buffer recommended</w:t>
            </w:r>
          </w:p>
        </w:tc>
      </w:tr>
    </w:tbl>
    <w:p>
      <w:pPr>
        <w:pStyle w:val="Heading1"/>
        <w:spacing w:after="120" w:before="240"/>
      </w:pPr>
      <w:r>
        <w:t xml:space="preserve">Business Recommendations</w:t>
      </w:r>
    </w:p>
    <w:p>
      <w:pPr>
        <w:pStyle w:val="ListParagraph"/>
        <w:numPr>
          <w:ilvl w:val="0"/>
          <w:numId w:val="1"/>
        </w:numPr>
        <w:spacing w:after="60"/>
      </w:pPr>
      <w:r>
        <w:t xml:space="preserve">1. Build extra holiday-season inventory buffer (beyond model forecasts) for High Volume Core products - especially Chairs, Tables, and Phones - since every forecasting model tested understated the true size of past November surges by 20-45%.</w:t>
      </w:r>
    </w:p>
    <w:p>
      <w:pPr>
        <w:pStyle w:val="ListParagraph"/>
        <w:numPr>
          <w:ilvl w:val="0"/>
          <w:numId w:val="1"/>
        </w:numPr>
        <w:spacing w:after="60"/>
      </w:pPr>
      <w:r>
        <w:t xml:space="preserve">2. Prioritize the East region as the benchmark for reliable growth planning, and investigate what East is doing differently, given its uniquely stable and consistent performance versus the highly volatile West, Central, and South regions.</w:t>
      </w:r>
    </w:p>
    <w:p>
      <w:pPr>
        <w:pStyle w:val="ListParagraph"/>
        <w:numPr>
          <w:ilvl w:val="0"/>
          <w:numId w:val="1"/>
        </w:numPr>
        <w:spacing w:after="60"/>
      </w:pPr>
      <w:r>
        <w:t xml:space="preserve">3. Adopt a lighter-touch, automated reorder system for the 10 Low Volume/Stable products (Cluster 2), freeing up planning resources to focus manual attention on the smaller number of high-value, high-volatility products that carry the greatest financial risk if under- or over-stocked.</w:t>
      </w:r>
    </w:p>
    <w:p>
      <w:pPr>
        <w:pStyle w:val="Heading1"/>
        <w:spacing w:after="120" w:before="240"/>
      </w:pPr>
      <w:r>
        <w:t xml:space="preserve">Risk &amp; Limitation</w:t>
      </w:r>
    </w:p>
    <w:p>
      <w:pPr>
        <w:spacing w:after="100"/>
      </w:pPr>
      <w:r>
        <w:t xml:space="preserve">This system is built on four years of historical data - enough to detect strong, repeatable patterns like monthly seasonality, but not enough for our models to fully learn how extreme a single holiday season can become. In every model we tested, forecasts for November and December were the least accurate, consistently coming in below actual results. This system should be used to guide baseline planning and flag general demand direction, but final holiday-season stocking decisions should still involve human judgment and manual buffer adjustments rather than relying on the model output alone.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2026-07-05T14:03:50.211Z</dcterms:created>
  <dcterms:modified xsi:type="dcterms:W3CDTF">2026-07-05T14:03:50.211Z</dcterms:modified>
</cp:coreProperties>
</file>

<file path=docProps/custom.xml><?xml version="1.0" encoding="utf-8"?>
<Properties xmlns="http://schemas.openxmlformats.org/officeDocument/2006/custom-properties" xmlns:vt="http://schemas.openxmlformats.org/officeDocument/2006/docPropsVTypes"/>
</file>