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java.awt.geom.Ellipse2D;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Bear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xCoord, yCoord, w, 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Bear (int x, int y, int width, int height)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xCoord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yCoord = 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 = width;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 = height;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draw(Graphics2D g2)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bruh = new Rectangle(xCoord, yCoord, w, 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g2.draw(bruh);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head = new Rectangle(150, 40, 80, 70);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Color(210,105,30));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snout = new Rectangle(165, 65, 50, 40);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g2.fill(snout);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nose = new Rectangle(182, 80, 15, 15);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Color(000000));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g2.fill(nose);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eye1 = new Rectangle(164, 60, 7, 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g2.fill(eye1);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eye2 = new Rectangle(209, 60, 7, 7);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g2.fill(eye2);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body = new Rectangle(115, 110, 150, 200);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Color(210,105,30));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g2.fill(body);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LArm = new Rectangle(90, 110, 25, 150);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g2.fill(LArm);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RArm = new Rectangle(265, 110, 25, 150);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g2.fill(RArm);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LLeg = new Rectangle(115, 310, 68, 120);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g2.fill(LLeg);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RLeg = new Rectangle(197, 310, 68, 120);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g2.fill(RLeg);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Rectangle Belly = new Rectangle(135, 140, 110, 140);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g2.setColor(new Color(139,69,19));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g2.fill(Belly);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javax.swing.JComponent;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BearComponent extends JComponent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paintComponent(Graphics g)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Graphics2D g2 = (Graphics2D) 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Bear f = new Bear(0, 0, 0,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f.draw(g2);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FrameViewer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JFrame frame = new JFrame();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frame.setSize(500, 300);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frame.setTitle("bear frame");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BearComponent thing = new BearComponent();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frame.add(thing);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