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6366f1" w:color="6366f1" w:val="clear"/>
        <w:spacing w:before="3200"/>
      </w:pPr>
    </w:p>
    <w:p>
      <w:pPr>
        <w:shd w:fill="6366f1" w:color="6366f1" w:val="clear"/>
        <w:spacing w:after="400"/>
        <w:jc w:val="center"/>
      </w:pPr>
      <w:r>
        <w:rPr>
          <w:rFonts w:ascii="Calibri" w:cs="Calibri" w:eastAsia="Calibri" w:hAnsi="Calibri"/>
          <w:b/>
          <w:bCs/>
          <w:color w:val="FFFFFF"/>
          <w:sz w:val="96"/>
          <w:szCs w:val="96"/>
        </w:rPr>
        <w:t xml:space="preserve">QUOTATION</w:t>
      </w:r>
    </w:p>
    <w:p>
      <w:pPr>
        <w:shd w:fill="6366f1" w:color="6366f1" w:val="clear"/>
        <w:spacing w:after="800"/>
        <w:jc w:val="center"/>
      </w:pPr>
      <w:r>
        <w:rPr>
          <w:rFonts w:ascii="Calibri" w:cs="Calibri" w:eastAsia="Calibri" w:hAnsi="Calibri"/>
          <w:color w:val="FFFFFF"/>
          <w:sz w:val="48"/>
          <w:szCs w:val="48"/>
        </w:rPr>
        <w:t xml:space="preserve">Auxilium Consult – Corporate Website</w:t>
      </w:r>
    </w:p>
    <w:p>
      <w:pPr>
        <w:shd w:fill="6366f1" w:color="6366f1" w:val="clear"/>
        <w:spacing w:after="800"/>
        <w:jc w:val="center"/>
      </w:pPr>
      <w:tbl>
        <w:tblPr>
          <w:tblW w:type="pct" w:w="70%"/>
          <w:tblBorders>
            <w:top w:val="single" w:color="FFFFFF" w:sz="6"/>
            <w:left w:val="single" w:color="FFFFFF" w:sz="6"/>
            <w:bottom w:val="single" w:color="FFFFFF" w:sz="6"/>
            <w:right w:val="single" w:color="FFFFFF" w:sz="6"/>
            <w:insideH w:val="single" w:color="auto" w:sz="4"/>
            <w:insideV w:val="single" w:color="auto" w:sz="4"/>
          </w:tblBorders>
        </w:tblPr>
        <w:tblGrid>
          <w:gridCol w:w="100"/>
          <w:gridCol w:w="100"/>
        </w:tblGrid>
        <w:tr>
          <w:tc>
            <w:tcPr>
              <w:tcW w:type="pct" w:w="40%"/>
              <w:tcBorders>
                <w:top w:val="none" w:sz="0"/>
                <w:left w:val="none" w:sz="0"/>
                <w:bottom w:val="none" w:sz="0"/>
                <w:right w:val="none" w:sz="0"/>
              </w:tcBorders>
              <w:shd w:fill="6366f1" w:color="6366f1" w:val="clear"/>
            </w:tcPr>
            <w:p>
              <w:pPr>
                <w:spacing w:before="240" w:after="24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FFFFFF"/>
                  <w:sz w:val="20"/>
                  <w:szCs w:val="20"/>
                </w:rPr>
                <w:t xml:space="preserve">Quote Number:</w:t>
              </w:r>
            </w:p>
          </w:tc>
          <w:tc>
            <w:tcPr>
              <w:tcW w:type="pct" w:w="60%"/>
              <w:tcBorders>
                <w:top w:val="none" w:sz="0"/>
                <w:left w:val="none" w:sz="0"/>
                <w:bottom w:val="none" w:sz="0"/>
                <w:right w:val="none" w:sz="0"/>
              </w:tcBorders>
              <w:shd w:fill="6366f1" w:color="6366f1" w:val="clear"/>
            </w:tcPr>
            <w:p>
              <w:pPr>
                <w:spacing w:before="240" w:after="240"/>
                <w:jc w:val="right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20"/>
                  <w:szCs w:val="20"/>
                </w:rPr>
                <w:t xml:space="preserve">QT-202510-1789</w:t>
              </w:r>
            </w:p>
          </w:tc>
        </w:tr>
        <w:tr>
          <w:tc>
            <w:tcPr>
              <w:tcW w:type="pct" w:w="40%"/>
              <w:tcBorders>
                <w:top w:val="none" w:sz="0"/>
                <w:left w:val="none" w:sz="0"/>
                <w:bottom w:val="none" w:sz="0"/>
                <w:right w:val="none" w:sz="0"/>
              </w:tcBorders>
              <w:shd w:fill="6366f1" w:color="6366f1" w:val="clear"/>
            </w:tcPr>
            <w:p>
              <w:pPr>
                <w:spacing w:before="240" w:after="24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FFFFFF"/>
                  <w:sz w:val="20"/>
                  <w:szCs w:val="20"/>
                </w:rPr>
                <w:t xml:space="preserve">Date:</w:t>
              </w:r>
            </w:p>
          </w:tc>
          <w:tc>
            <w:tcPr>
              <w:tcW w:type="pct" w:w="60%"/>
              <w:tcBorders>
                <w:top w:val="none" w:sz="0"/>
                <w:left w:val="none" w:sz="0"/>
                <w:bottom w:val="none" w:sz="0"/>
                <w:right w:val="none" w:sz="0"/>
              </w:tcBorders>
              <w:shd w:fill="6366f1" w:color="6366f1" w:val="clear"/>
            </w:tcPr>
            <w:p>
              <w:pPr>
                <w:spacing w:before="240" w:after="240"/>
                <w:jc w:val="right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20"/>
                  <w:szCs w:val="20"/>
                </w:rPr>
                <w:t xml:space="preserve">October 27, 2025</w:t>
              </w:r>
            </w:p>
          </w:tc>
        </w:tr>
        <w:tr>
          <w:tc>
            <w:tcPr>
              <w:tcW w:type="pct" w:w="40%"/>
              <w:tcBorders>
                <w:top w:val="none" w:sz="0"/>
                <w:left w:val="none" w:sz="0"/>
                <w:bottom w:val="none" w:sz="0"/>
                <w:right w:val="none" w:sz="0"/>
              </w:tcBorders>
              <w:shd w:fill="6366f1" w:color="6366f1" w:val="clear"/>
            </w:tcPr>
            <w:p>
              <w:pPr>
                <w:spacing w:before="240" w:after="24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FFFFFF"/>
                  <w:sz w:val="20"/>
                  <w:szCs w:val="20"/>
                </w:rPr>
                <w:t xml:space="preserve">Valid Until:</w:t>
              </w:r>
            </w:p>
          </w:tc>
          <w:tc>
            <w:tcPr>
              <w:tcW w:type="pct" w:w="60%"/>
              <w:tcBorders>
                <w:top w:val="none" w:sz="0"/>
                <w:left w:val="none" w:sz="0"/>
                <w:bottom w:val="none" w:sz="0"/>
                <w:right w:val="none" w:sz="0"/>
              </w:tcBorders>
              <w:shd w:fill="6366f1" w:color="6366f1" w:val="clear"/>
            </w:tcPr>
            <w:p>
              <w:pPr>
                <w:spacing w:before="240" w:after="240"/>
                <w:jc w:val="right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20"/>
                  <w:szCs w:val="20"/>
                </w:rPr>
                <w:t xml:space="preserve">October 31, 2025</w:t>
              </w:r>
            </w:p>
          </w:tc>
        </w:tr>
        <w:tr>
          <w:tc>
            <w:tcPr>
              <w:tcW w:type="pct" w:w="40%"/>
              <w:tcBorders>
                <w:top w:val="none" w:sz="0"/>
                <w:left w:val="none" w:sz="0"/>
                <w:bottom w:val="none" w:sz="0"/>
                <w:right w:val="none" w:sz="0"/>
              </w:tcBorders>
              <w:shd w:fill="6366f1" w:color="6366f1" w:val="clear"/>
            </w:tcPr>
            <w:p>
              <w:pPr>
                <w:spacing w:before="240" w:after="24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FFFFFF"/>
                  <w:sz w:val="20"/>
                  <w:szCs w:val="20"/>
                </w:rPr>
                <w:t xml:space="preserve">Prepared For:</w:t>
              </w:r>
            </w:p>
          </w:tc>
          <w:tc>
            <w:tcPr>
              <w:tcW w:type="pct" w:w="60%"/>
              <w:tcBorders>
                <w:top w:val="none" w:sz="0"/>
                <w:left w:val="none" w:sz="0"/>
                <w:bottom w:val="none" w:sz="0"/>
                <w:right w:val="none" w:sz="0"/>
              </w:tcBorders>
              <w:shd w:fill="6366f1" w:color="6366f1" w:val="clear"/>
            </w:tcPr>
            <w:p>
              <w:pPr>
                <w:spacing w:before="240" w:after="240"/>
                <w:jc w:val="right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20"/>
                  <w:szCs w:val="20"/>
                </w:rPr>
                <w:t xml:space="preserve">Sean Desmond Adotey Allotey</w:t>
              </w:r>
            </w:p>
          </w:tc>
        </w:tr>
        <w:tr>
          <w:tc>
            <w:tcPr>
              <w:tcW w:type="pct" w:w="40%"/>
              <w:tcBorders>
                <w:top w:val="none" w:sz="0"/>
                <w:left w:val="none" w:sz="0"/>
                <w:bottom w:val="none" w:sz="0"/>
                <w:right w:val="none" w:sz="0"/>
              </w:tcBorders>
              <w:shd w:fill="6366f1" w:color="6366f1" w:val="clear"/>
            </w:tcPr>
            <w:p>
              <w:pPr>
                <w:spacing w:before="240" w:after="240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22"/>
                  <w:szCs w:val="22"/>
                </w:rPr>
                <w:t xml:space="preserve">Total:</w:t>
              </w:r>
            </w:p>
          </w:tc>
          <w:tc>
            <w:tcPr>
              <w:tcW w:type="pct" w:w="60%"/>
              <w:tcBorders>
                <w:top w:val="none" w:sz="0"/>
                <w:left w:val="none" w:sz="0"/>
                <w:bottom w:val="none" w:sz="0"/>
                <w:right w:val="none" w:sz="0"/>
              </w:tcBorders>
              <w:shd w:fill="6366f1" w:color="6366f1" w:val="clear"/>
            </w:tcPr>
            <w:p>
              <w:pPr>
                <w:spacing w:before="240" w:after="240"/>
                <w:jc w:val="right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36"/>
                  <w:szCs w:val="36"/>
                </w:rPr>
                <w:t xml:space="preserve">$2,350.99</w:t>
              </w:r>
            </w:p>
          </w:tc>
        </w:tr>
      </w:tbl>
    </w:p>
    <w:p>
      <w:pPr>
        <w:shd w:fill="6366f1" w:color="6366f1" w:val="clear"/>
        <w:spacing w:before="2400"/>
      </w:pPr>
    </w:p>
    <w:p>
      <w:pPr>
        <w:shd w:fill="6366f1" w:color="6366f1" w:val="clear"/>
        <w:spacing w:after="600"/>
        <w:jc w:val="center"/>
      </w:pPr>
      <w:r>
        <w:rPr>
          <w:rFonts w:ascii="Calibri" w:cs="Calibri" w:eastAsia="Calibri" w:hAnsi="Calibri"/>
          <w:color w:val="FFFFFF"/>
          <w:sz w:val="20"/>
          <w:szCs w:val="20"/>
        </w:rPr>
        <w:t xml:space="preserve">MicroAI Systems • contact@microai.systems • +1 (555) 123-4567</w:t>
      </w:r>
    </w:p>
    <w:p>
      <w:r>
        <w:br w:type="page"/>
      </w:r>
    </w:p>
    <w:p>
      <w:pPr>
        <w:shd w:fill="6366f1" w:color="6366f1" w:val="clear"/>
        <w:spacing w:before="400" w:after="400"/>
        <w:ind w:left="400"/>
        <w:jc w:val="left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PRICING BREAKDOWN</w:t>
      </w:r>
    </w:p>
    <w:p>
      <w:pPr>
        <w:spacing w:after="400"/>
      </w:pPr>
    </w:p>
    <w:p>
      <w:pPr>
        <w:spacing w:after="240"/>
      </w:pPr>
      <w:tbl>
        <w:tblPr>
          <w:tblW w:type="pct" w:w="100%"/>
          <w:tblBorders>
            <w:top w:val="single" w:color="E5E7EB" w:sz="6"/>
            <w:left w:val="single" w:color="E5E7EB" w:sz="6"/>
            <w:bottom w:val="single" w:color="E5E7EB" w:sz="6"/>
            <w:right w:val="single" w:color="E5E7EB" w:sz="6"/>
            <w:insideH w:val="single" w:color="E5E7EB" w:sz="6"/>
            <w:insideV w:val="single" w:color="E5E7EB" w:sz="6"/>
          </w:tblBorders>
        </w:tblPr>
        <w:tblGrid>
          <w:gridCol w:w="100"/>
          <w:gridCol w:w="100"/>
          <w:gridCol w:w="100"/>
          <w:gridCol w:w="100"/>
          <w:gridCol w:w="100"/>
        </w:tblGrid>
        <w:tr>
          <w:trPr>
            <w:tblHeader/>
          </w:trPr>
          <w:tc>
            <w:tcPr>
              <w:tcW w:type="pct" w:w="35%"/>
              <w:tcBorders>
                <w:top w:val="none" w:sz="0"/>
                <w:left w:val="none" w:sz="0"/>
                <w:bottom w:val="single" w:color="6366f1" w:sz="12"/>
                <w:right w:val="none" w:sz="0"/>
              </w:tcBorders>
              <w:shd w:fill="F9FAFB" w:color="F9FAFB"/>
              <w:vAlign w:val="center"/>
            </w:tcPr>
            <w:p>
              <w:pPr>
                <w:spacing w:before="240" w:after="240"/>
              </w:pPr>
              <w:r>
                <w:rPr>
                  <w:rFonts w:ascii="Calibri" w:cs="Calibri" w:eastAsia="Calibri" w:hAnsi="Calibri"/>
                  <w:b/>
                  <w:bCs/>
                  <w:color w:val="1F2937"/>
                  <w:sz w:val="18"/>
                  <w:szCs w:val="18"/>
                </w:rPr>
                <w:t xml:space="preserve">ITEM</w:t>
              </w:r>
            </w:p>
          </w:tc>
          <w:tc>
            <w:tcPr>
              <w:tcW w:type="pct" w:w="35%"/>
              <w:tcBorders>
                <w:top w:val="none" w:sz="0"/>
                <w:left w:val="none" w:sz="0"/>
                <w:bottom w:val="single" w:color="6366f1" w:sz="12"/>
                <w:right w:val="none" w:sz="0"/>
              </w:tcBorders>
              <w:shd w:fill="F9FAFB" w:color="F9FAFB"/>
              <w:vAlign w:val="center"/>
            </w:tcPr>
            <w:p>
              <w:pPr>
                <w:spacing w:before="240" w:after="240"/>
              </w:pPr>
              <w:r>
                <w:rPr>
                  <w:rFonts w:ascii="Calibri" w:cs="Calibri" w:eastAsia="Calibri" w:hAnsi="Calibri"/>
                  <w:b/>
                  <w:bCs/>
                  <w:color w:val="1F2937"/>
                  <w:sz w:val="18"/>
                  <w:szCs w:val="18"/>
                </w:rPr>
                <w:t xml:space="preserve">DESCRIPTION</w:t>
              </w:r>
            </w:p>
          </w:tc>
          <w:tc>
            <w:tcPr>
              <w:tcW w:type="pct" w:w="10%"/>
              <w:tcBorders>
                <w:top w:val="none" w:sz="0"/>
                <w:left w:val="none" w:sz="0"/>
                <w:bottom w:val="single" w:color="6366f1" w:sz="12"/>
                <w:right w:val="none" w:sz="0"/>
              </w:tcBorders>
              <w:shd w:fill="F9FAFB" w:color="F9FAFB"/>
              <w:vAlign w:val="center"/>
            </w:tcPr>
            <w:p>
              <w:pPr>
                <w:spacing w:before="240" w:after="240"/>
              </w:pPr>
              <w:r>
                <w:rPr>
                  <w:rFonts w:ascii="Calibri" w:cs="Calibri" w:eastAsia="Calibri" w:hAnsi="Calibri"/>
                  <w:b/>
                  <w:bCs/>
                  <w:color w:val="1F2937"/>
                  <w:sz w:val="18"/>
                  <w:szCs w:val="18"/>
                </w:rPr>
                <w:t xml:space="preserve">QTY</w:t>
              </w:r>
            </w:p>
          </w:tc>
          <w:tc>
            <w:tcPr>
              <w:tcW w:type="pct" w:w="10%"/>
              <w:tcBorders>
                <w:top w:val="none" w:sz="0"/>
                <w:left w:val="none" w:sz="0"/>
                <w:bottom w:val="single" w:color="6366f1" w:sz="12"/>
                <w:right w:val="none" w:sz="0"/>
              </w:tcBorders>
              <w:shd w:fill="F9FAFB" w:color="F9FAFB"/>
              <w:vAlign w:val="center"/>
            </w:tcPr>
            <w:p>
              <w:pPr>
                <w:spacing w:before="240" w:after="240"/>
              </w:pPr>
              <w:r>
                <w:rPr>
                  <w:rFonts w:ascii="Calibri" w:cs="Calibri" w:eastAsia="Calibri" w:hAnsi="Calibri"/>
                  <w:b/>
                  <w:bCs/>
                  <w:color w:val="1F2937"/>
                  <w:sz w:val="18"/>
                  <w:szCs w:val="18"/>
                </w:rPr>
                <w:t xml:space="preserve">RATE</w:t>
              </w:r>
            </w:p>
          </w:tc>
          <w:tc>
            <w:tcPr>
              <w:tcW w:type="pct" w:w="10%"/>
              <w:tcBorders>
                <w:top w:val="none" w:sz="0"/>
                <w:left w:val="none" w:sz="0"/>
                <w:bottom w:val="single" w:color="6366f1" w:sz="12"/>
                <w:right w:val="none" w:sz="0"/>
              </w:tcBorders>
              <w:shd w:fill="F9FAFB" w:color="F9FAFB"/>
              <w:vAlign w:val="center"/>
            </w:tcPr>
            <w:p>
              <w:pPr>
                <w:spacing w:before="240" w:after="240"/>
              </w:pPr>
              <w:r>
                <w:rPr>
                  <w:rFonts w:ascii="Calibri" w:cs="Calibri" w:eastAsia="Calibri" w:hAnsi="Calibri"/>
                  <w:b/>
                  <w:bCs/>
                  <w:color w:val="1F2937"/>
                  <w:sz w:val="18"/>
                  <w:szCs w:val="18"/>
                </w:rPr>
                <w:t xml:space="preserve">TOTAL</w:t>
              </w:r>
            </w:p>
          </w:tc>
        </w:tr>
        <w:tr>
          <w:tc>
            <w:tcPr>
              <w:tcW w:type="pct" w:w="35%"/>
              <w:tcBorders>
                <w:top w:val="none" w:sz="0"/>
                <w:left w:val="none" w:sz="0"/>
                <w:bottom w:val="single" w:color="E5E7EB" w:sz="6"/>
                <w:right w:val="none" w:sz="0"/>
              </w:tcBorders>
              <w:shd w:fill="FFFFFF" w:color="FFFFFF" w:val="clear"/>
              <w:vAlign w:val="center"/>
            </w:tcPr>
            <w:p>
              <w:pPr>
                <w:spacing w:before="160" w:after="16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F2937"/>
                  <w:sz w:val="18"/>
                  <w:szCs w:val="18"/>
                </w:rPr>
                <w:t xml:space="preserve">Unnamed Item</w:t>
              </w:r>
            </w:p>
          </w:tc>
          <w:tc>
            <w:tcPr>
              <w:tcW w:type="pct" w:w="35%"/>
              <w:tcBorders>
                <w:top w:val="none" w:sz="0"/>
                <w:left w:val="none" w:sz="0"/>
                <w:bottom w:val="single" w:color="E5E7EB" w:sz="6"/>
                <w:right w:val="none" w:sz="0"/>
              </w:tcBorders>
              <w:shd w:fill="FFFFFF" w:color="FFFFFF" w:val="clear"/>
              <w:vAlign w:val="center"/>
            </w:tcPr>
            <w:p>
              <w:pPr>
                <w:spacing w:before="160" w:after="16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F2937"/>
                  <w:sz w:val="18"/>
                  <w:szCs w:val="18"/>
                </w:rPr>
                <w:t xml:space="preserve">Setup Fee</w:t>
              </w:r>
            </w:p>
          </w:tc>
          <w:tc>
            <w:tcPr>
              <w:tcW w:type="pct" w:w="10%"/>
              <w:tcBorders>
                <w:top w:val="none" w:sz="0"/>
                <w:left w:val="none" w:sz="0"/>
                <w:bottom w:val="single" w:color="E5E7EB" w:sz="6"/>
                <w:right w:val="none" w:sz="0"/>
              </w:tcBorders>
              <w:shd w:fill="FFFFFF" w:color="FFFFFF" w:val="clear"/>
              <w:vAlign w:val="center"/>
            </w:tcPr>
            <w:p>
              <w:pPr>
                <w:spacing w:before="160" w:after="160"/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F2937"/>
                  <w:sz w:val="18"/>
                  <w:szCs w:val="18"/>
                </w:rPr>
                <w:t xml:space="preserve">1</w:t>
              </w:r>
            </w:p>
          </w:tc>
          <w:tc>
            <w:tcPr>
              <w:tcW w:type="pct" w:w="10%"/>
              <w:tcBorders>
                <w:top w:val="none" w:sz="0"/>
                <w:left w:val="none" w:sz="0"/>
                <w:bottom w:val="single" w:color="E5E7EB" w:sz="6"/>
                <w:right w:val="none" w:sz="0"/>
              </w:tcBorders>
              <w:shd w:fill="FFFFFF" w:color="FFFFFF" w:val="clear"/>
              <w:vAlign w:val="center"/>
            </w:tcPr>
            <w:p>
              <w:pPr>
                <w:spacing w:before="160" w:after="160"/>
                <w:jc w:val="right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F2937"/>
                  <w:sz w:val="18"/>
                  <w:szCs w:val="18"/>
                </w:rPr>
                <w:t xml:space="preserve">$400.00</w:t>
              </w:r>
            </w:p>
          </w:tc>
          <w:tc>
            <w:tcPr>
              <w:tcW w:type="pct" w:w="10%"/>
              <w:tcBorders>
                <w:top w:val="none" w:sz="0"/>
                <w:left w:val="none" w:sz="0"/>
                <w:bottom w:val="single" w:color="E5E7EB" w:sz="6"/>
                <w:right w:val="none" w:sz="0"/>
              </w:tcBorders>
              <w:shd w:fill="FFFFFF" w:color="FFFFFF" w:val="clear"/>
              <w:vAlign w:val="center"/>
            </w:tcPr>
            <w:p>
              <w:pPr>
                <w:spacing w:before="160" w:after="160"/>
                <w:jc w:val="right"/>
              </w:pPr>
              <w:r>
                <w:rPr>
                  <w:rFonts w:ascii="Calibri" w:cs="Calibri" w:eastAsia="Calibri" w:hAnsi="Calibri"/>
                  <w:b/>
                  <w:bCs/>
                  <w:color w:val="1F2937"/>
                  <w:sz w:val="18"/>
                  <w:szCs w:val="18"/>
                </w:rPr>
                <w:t xml:space="preserve">$400.00</w:t>
              </w:r>
            </w:p>
          </w:tc>
        </w:tr>
        <w:tr>
          <w:tc>
            <w:tcPr>
              <w:tcW w:type="pct" w:w="35%"/>
              <w:tcBorders>
                <w:top w:val="none" w:sz="0"/>
                <w:left w:val="none" w:sz="0"/>
                <w:bottom w:val="single" w:color="E5E7EB" w:sz="6"/>
                <w:right w:val="none" w:sz="0"/>
              </w:tcBorders>
              <w:shd w:fill="F9FAFB" w:color="F9FAFB" w:val="clear"/>
              <w:vAlign w:val="center"/>
            </w:tcPr>
            <w:p>
              <w:pPr>
                <w:spacing w:before="160" w:after="16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F2937"/>
                  <w:sz w:val="18"/>
                  <w:szCs w:val="18"/>
                </w:rPr>
                <w:t xml:space="preserve">Unnamed Item</w:t>
              </w:r>
            </w:p>
          </w:tc>
          <w:tc>
            <w:tcPr>
              <w:tcW w:type="pct" w:w="35%"/>
              <w:tcBorders>
                <w:top w:val="none" w:sz="0"/>
                <w:left w:val="none" w:sz="0"/>
                <w:bottom w:val="single" w:color="E5E7EB" w:sz="6"/>
                <w:right w:val="none" w:sz="0"/>
              </w:tcBorders>
              <w:shd w:fill="F9FAFB" w:color="F9FAFB" w:val="clear"/>
              <w:vAlign w:val="center"/>
            </w:tcPr>
            <w:p>
              <w:pPr>
                <w:spacing w:before="160" w:after="16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F2937"/>
                  <w:sz w:val="18"/>
                  <w:szCs w:val="18"/>
                </w:rPr>
                <w:t xml:space="preserve">Development Cost</w:t>
              </w:r>
            </w:p>
          </w:tc>
          <w:tc>
            <w:tcPr>
              <w:tcW w:type="pct" w:w="10%"/>
              <w:tcBorders>
                <w:top w:val="none" w:sz="0"/>
                <w:left w:val="none" w:sz="0"/>
                <w:bottom w:val="single" w:color="E5E7EB" w:sz="6"/>
                <w:right w:val="none" w:sz="0"/>
              </w:tcBorders>
              <w:shd w:fill="F9FAFB" w:color="F9FAFB" w:val="clear"/>
              <w:vAlign w:val="center"/>
            </w:tcPr>
            <w:p>
              <w:pPr>
                <w:spacing w:before="160" w:after="160"/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F2937"/>
                  <w:sz w:val="18"/>
                  <w:szCs w:val="18"/>
                </w:rPr>
                <w:t xml:space="preserve">1</w:t>
              </w:r>
            </w:p>
          </w:tc>
          <w:tc>
            <w:tcPr>
              <w:tcW w:type="pct" w:w="10%"/>
              <w:tcBorders>
                <w:top w:val="none" w:sz="0"/>
                <w:left w:val="none" w:sz="0"/>
                <w:bottom w:val="single" w:color="E5E7EB" w:sz="6"/>
                <w:right w:val="none" w:sz="0"/>
              </w:tcBorders>
              <w:shd w:fill="F9FAFB" w:color="F9FAFB" w:val="clear"/>
              <w:vAlign w:val="center"/>
            </w:tcPr>
            <w:p>
              <w:pPr>
                <w:spacing w:before="160" w:after="160"/>
                <w:jc w:val="right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F2937"/>
                  <w:sz w:val="18"/>
                  <w:szCs w:val="18"/>
                </w:rPr>
                <w:t xml:space="preserve">$0.99</w:t>
              </w:r>
            </w:p>
          </w:tc>
          <w:tc>
            <w:tcPr>
              <w:tcW w:type="pct" w:w="10%"/>
              <w:tcBorders>
                <w:top w:val="none" w:sz="0"/>
                <w:left w:val="none" w:sz="0"/>
                <w:bottom w:val="single" w:color="E5E7EB" w:sz="6"/>
                <w:right w:val="none" w:sz="0"/>
              </w:tcBorders>
              <w:shd w:fill="F9FAFB" w:color="F9FAFB" w:val="clear"/>
              <w:vAlign w:val="center"/>
            </w:tcPr>
            <w:p>
              <w:pPr>
                <w:spacing w:before="160" w:after="160"/>
                <w:jc w:val="right"/>
              </w:pPr>
              <w:r>
                <w:rPr>
                  <w:rFonts w:ascii="Calibri" w:cs="Calibri" w:eastAsia="Calibri" w:hAnsi="Calibri"/>
                  <w:b/>
                  <w:bCs/>
                  <w:color w:val="1F2937"/>
                  <w:sz w:val="18"/>
                  <w:szCs w:val="18"/>
                </w:rPr>
                <w:t xml:space="preserve">$0.99</w:t>
              </w:r>
            </w:p>
          </w:tc>
        </w:tr>
        <w:tr>
          <w:tc>
            <w:tcPr>
              <w:tcW w:type="pct" w:w="35%"/>
              <w:tcBorders>
                <w:top w:val="none" w:sz="0"/>
                <w:left w:val="none" w:sz="0"/>
                <w:bottom w:val="single" w:color="E5E7EB" w:sz="6"/>
                <w:right w:val="none" w:sz="0"/>
              </w:tcBorders>
              <w:shd w:fill="FFFFFF" w:color="FFFFFF" w:val="clear"/>
              <w:vAlign w:val="center"/>
            </w:tcPr>
            <w:p>
              <w:pPr>
                <w:spacing w:before="160" w:after="16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F2937"/>
                  <w:sz w:val="18"/>
                  <w:szCs w:val="18"/>
                </w:rPr>
                <w:t xml:space="preserve">Unnamed Item</w:t>
              </w:r>
            </w:p>
          </w:tc>
          <w:tc>
            <w:tcPr>
              <w:tcW w:type="pct" w:w="35%"/>
              <w:tcBorders>
                <w:top w:val="none" w:sz="0"/>
                <w:left w:val="none" w:sz="0"/>
                <w:bottom w:val="single" w:color="E5E7EB" w:sz="6"/>
                <w:right w:val="none" w:sz="0"/>
              </w:tcBorders>
              <w:shd w:fill="FFFFFF" w:color="FFFFFF" w:val="clear"/>
              <w:vAlign w:val="center"/>
            </w:tcPr>
            <w:p>
              <w:pPr>
                <w:spacing w:before="160" w:after="16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F2937"/>
                  <w:sz w:val="18"/>
                  <w:szCs w:val="18"/>
                </w:rPr>
                <w:t xml:space="preserve">Design Cost</w:t>
              </w:r>
            </w:p>
          </w:tc>
          <w:tc>
            <w:tcPr>
              <w:tcW w:type="pct" w:w="10%"/>
              <w:tcBorders>
                <w:top w:val="none" w:sz="0"/>
                <w:left w:val="none" w:sz="0"/>
                <w:bottom w:val="single" w:color="E5E7EB" w:sz="6"/>
                <w:right w:val="none" w:sz="0"/>
              </w:tcBorders>
              <w:shd w:fill="FFFFFF" w:color="FFFFFF" w:val="clear"/>
              <w:vAlign w:val="center"/>
            </w:tcPr>
            <w:p>
              <w:pPr>
                <w:spacing w:before="160" w:after="160"/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F2937"/>
                  <w:sz w:val="18"/>
                  <w:szCs w:val="18"/>
                </w:rPr>
                <w:t xml:space="preserve">1</w:t>
              </w:r>
            </w:p>
          </w:tc>
          <w:tc>
            <w:tcPr>
              <w:tcW w:type="pct" w:w="10%"/>
              <w:tcBorders>
                <w:top w:val="none" w:sz="0"/>
                <w:left w:val="none" w:sz="0"/>
                <w:bottom w:val="single" w:color="E5E7EB" w:sz="6"/>
                <w:right w:val="none" w:sz="0"/>
              </w:tcBorders>
              <w:shd w:fill="FFFFFF" w:color="FFFFFF" w:val="clear"/>
              <w:vAlign w:val="center"/>
            </w:tcPr>
            <w:p>
              <w:pPr>
                <w:spacing w:before="160" w:after="160"/>
                <w:jc w:val="right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F2937"/>
                  <w:sz w:val="18"/>
                  <w:szCs w:val="18"/>
                </w:rPr>
                <w:t xml:space="preserve">$150.00</w:t>
              </w:r>
            </w:p>
          </w:tc>
          <w:tc>
            <w:tcPr>
              <w:tcW w:type="pct" w:w="10%"/>
              <w:tcBorders>
                <w:top w:val="none" w:sz="0"/>
                <w:left w:val="none" w:sz="0"/>
                <w:bottom w:val="single" w:color="E5E7EB" w:sz="6"/>
                <w:right w:val="none" w:sz="0"/>
              </w:tcBorders>
              <w:shd w:fill="FFFFFF" w:color="FFFFFF" w:val="clear"/>
              <w:vAlign w:val="center"/>
            </w:tcPr>
            <w:p>
              <w:pPr>
                <w:spacing w:before="160" w:after="160"/>
                <w:jc w:val="right"/>
              </w:pPr>
              <w:r>
                <w:rPr>
                  <w:rFonts w:ascii="Calibri" w:cs="Calibri" w:eastAsia="Calibri" w:hAnsi="Calibri"/>
                  <w:b/>
                  <w:bCs/>
                  <w:color w:val="1F2937"/>
                  <w:sz w:val="18"/>
                  <w:szCs w:val="18"/>
                </w:rPr>
                <w:t xml:space="preserve">$150.00</w:t>
              </w:r>
            </w:p>
          </w:tc>
        </w:tr>
        <w:tr>
          <w:tc>
            <w:tcPr>
              <w:tcW w:type="pct" w:w="35%"/>
              <w:tcBorders>
                <w:top w:val="none" w:sz="0"/>
                <w:left w:val="none" w:sz="0"/>
                <w:bottom w:val="single" w:color="E5E7EB" w:sz="6"/>
                <w:right w:val="none" w:sz="0"/>
              </w:tcBorders>
              <w:shd w:fill="F9FAFB" w:color="F9FAFB" w:val="clear"/>
              <w:vAlign w:val="center"/>
            </w:tcPr>
            <w:p>
              <w:pPr>
                <w:spacing w:before="160" w:after="16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F2937"/>
                  <w:sz w:val="18"/>
                  <w:szCs w:val="18"/>
                </w:rPr>
                <w:t xml:space="preserve">Unnamed Item</w:t>
              </w:r>
            </w:p>
          </w:tc>
          <w:tc>
            <w:tcPr>
              <w:tcW w:type="pct" w:w="35%"/>
              <w:tcBorders>
                <w:top w:val="none" w:sz="0"/>
                <w:left w:val="none" w:sz="0"/>
                <w:bottom w:val="single" w:color="E5E7EB" w:sz="6"/>
                <w:right w:val="none" w:sz="0"/>
              </w:tcBorders>
              <w:shd w:fill="F9FAFB" w:color="F9FAFB" w:val="clear"/>
              <w:vAlign w:val="center"/>
            </w:tcPr>
            <w:p>
              <w:pPr>
                <w:spacing w:before="160" w:after="16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F2937"/>
                  <w:sz w:val="18"/>
                  <w:szCs w:val="18"/>
                </w:rPr>
                <w:t xml:space="preserve">Monthly Hosting &amp; Services (12 months)</w:t>
              </w:r>
            </w:p>
          </w:tc>
          <w:tc>
            <w:tcPr>
              <w:tcW w:type="pct" w:w="10%"/>
              <w:tcBorders>
                <w:top w:val="none" w:sz="0"/>
                <w:left w:val="none" w:sz="0"/>
                <w:bottom w:val="single" w:color="E5E7EB" w:sz="6"/>
                <w:right w:val="none" w:sz="0"/>
              </w:tcBorders>
              <w:shd w:fill="F9FAFB" w:color="F9FAFB" w:val="clear"/>
              <w:vAlign w:val="center"/>
            </w:tcPr>
            <w:p>
              <w:pPr>
                <w:spacing w:before="160" w:after="160"/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F2937"/>
                  <w:sz w:val="18"/>
                  <w:szCs w:val="18"/>
                </w:rPr>
                <w:t xml:space="preserve">12</w:t>
              </w:r>
            </w:p>
          </w:tc>
          <w:tc>
            <w:tcPr>
              <w:tcW w:type="pct" w:w="10%"/>
              <w:tcBorders>
                <w:top w:val="none" w:sz="0"/>
                <w:left w:val="none" w:sz="0"/>
                <w:bottom w:val="single" w:color="E5E7EB" w:sz="6"/>
                <w:right w:val="none" w:sz="0"/>
              </w:tcBorders>
              <w:shd w:fill="F9FAFB" w:color="F9FAFB" w:val="clear"/>
              <w:vAlign w:val="center"/>
            </w:tcPr>
            <w:p>
              <w:pPr>
                <w:spacing w:before="160" w:after="160"/>
                <w:jc w:val="right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F2937"/>
                  <w:sz w:val="18"/>
                  <w:szCs w:val="18"/>
                </w:rPr>
                <w:t xml:space="preserve">$150.00</w:t>
              </w:r>
            </w:p>
          </w:tc>
          <w:tc>
            <w:tcPr>
              <w:tcW w:type="pct" w:w="10%"/>
              <w:tcBorders>
                <w:top w:val="none" w:sz="0"/>
                <w:left w:val="none" w:sz="0"/>
                <w:bottom w:val="single" w:color="E5E7EB" w:sz="6"/>
                <w:right w:val="none" w:sz="0"/>
              </w:tcBorders>
              <w:shd w:fill="F9FAFB" w:color="F9FAFB" w:val="clear"/>
              <w:vAlign w:val="center"/>
            </w:tcPr>
            <w:p>
              <w:pPr>
                <w:spacing w:before="160" w:after="160"/>
                <w:jc w:val="right"/>
              </w:pPr>
              <w:r>
                <w:rPr>
                  <w:rFonts w:ascii="Calibri" w:cs="Calibri" w:eastAsia="Calibri" w:hAnsi="Calibri"/>
                  <w:b/>
                  <w:bCs/>
                  <w:color w:val="1F2937"/>
                  <w:sz w:val="18"/>
                  <w:szCs w:val="18"/>
                </w:rPr>
                <w:t xml:space="preserve">$1,800.00</w:t>
              </w:r>
            </w:p>
          </w:tc>
        </w:tr>
      </w:tbl>
    </w:p>
    <w:p>
      <w:pPr>
        <w:spacing w:after="600"/>
      </w:pPr>
      <w:tbl>
        <w:tblPr>
          <w:tblW w:type="pct" w:w="50%"/>
          <w:jc w:val="right"/>
          <w:tblBorders>
            <w:top w:val="none" w:sz="0"/>
            <w:left w:val="none" w:sz="0"/>
            <w:bottom w:val="none" w:sz="0"/>
            <w:right w:val="none" w:sz="0"/>
            <w:insideH w:val="single" w:color="auto" w:sz="4"/>
            <w:insideV w:val="single" w:color="auto" w:sz="4"/>
          </w:tblBorders>
        </w:tblPr>
        <w:tblGrid>
          <w:gridCol w:w="100"/>
          <w:gridCol w:w="100"/>
        </w:tblGrid>
        <w:tr>
          <w:tc>
            <w:tcPr>
              <w:tcW w:type="pct" w:w="60%"/>
              <w:tcBorders>
                <w:top w:val="none" w:sz="0"/>
                <w:left w:val="none" w:sz="0"/>
                <w:bottom w:val="none" w:sz="0"/>
                <w:right w:val="none" w:sz="0"/>
              </w:tcBorders>
            </w:tcPr>
            <w:p>
              <w:pPr>
                <w:spacing w:before="120" w:after="120"/>
                <w:jc w:val="right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F2937"/>
                  <w:sz w:val="20"/>
                  <w:szCs w:val="20"/>
                </w:rPr>
                <w:t xml:space="preserve">Subtotal:</w:t>
              </w:r>
            </w:p>
          </w:tc>
          <w:tc>
            <w:tcPr>
              <w:tcW w:type="pct" w:w="40%"/>
              <w:tcBorders>
                <w:top w:val="none" w:sz="0"/>
                <w:left w:val="none" w:sz="0"/>
                <w:bottom w:val="none" w:sz="0"/>
                <w:right w:val="none" w:sz="0"/>
              </w:tcBorders>
            </w:tcPr>
            <w:p>
              <w:pPr>
                <w:spacing w:before="120" w:after="120"/>
                <w:jc w:val="right"/>
              </w:pPr>
              <w:r>
                <w:rPr>
                  <w:rFonts w:ascii="Calibri" w:cs="Calibri" w:eastAsia="Calibri" w:hAnsi="Calibri"/>
                  <w:b/>
                  <w:bCs/>
                  <w:color w:val="1F2937"/>
                  <w:sz w:val="20"/>
                  <w:szCs w:val="20"/>
                </w:rPr>
                <w:t xml:space="preserve">$2,350.99</w:t>
              </w:r>
            </w:p>
          </w:tc>
        </w:tr>
        <w:tr>
          <w:tc>
            <w:tcPr>
              <w:tcW w:type="pct" w:w="60%"/>
              <w:tcBorders>
                <w:top w:val="none" w:sz="0"/>
                <w:left w:val="none" w:sz="0"/>
                <w:bottom w:val="none" w:sz="0"/>
                <w:right w:val="none" w:sz="0"/>
              </w:tcBorders>
              <w:shd w:fill="6366f1" w:color="6366f1" w:val="clear"/>
            </w:tcPr>
            <w:p>
              <w:pPr>
                <w:spacing w:before="240" w:after="240"/>
                <w:jc w:val="right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22"/>
                  <w:szCs w:val="22"/>
                </w:rPr>
                <w:t xml:space="preserve">TOTAL:</w:t>
              </w:r>
            </w:p>
          </w:tc>
          <w:tc>
            <w:tcPr>
              <w:tcW w:type="pct" w:w="40%"/>
              <w:tcBorders>
                <w:top w:val="none" w:sz="0"/>
                <w:left w:val="none" w:sz="0"/>
                <w:bottom w:val="none" w:sz="0"/>
                <w:right w:val="none" w:sz="0"/>
              </w:tcBorders>
              <w:shd w:fill="6366f1" w:color="6366f1" w:val="clear"/>
            </w:tcPr>
            <w:p>
              <w:pPr>
                <w:spacing w:before="240" w:after="240"/>
                <w:jc w:val="right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28"/>
                  <w:szCs w:val="28"/>
                </w:rPr>
                <w:t xml:space="preserve">$2,350.99</w:t>
              </w:r>
            </w:p>
          </w:tc>
        </w:tr>
      </w:tbl>
    </w:p>
    <w:p>
      <w:pPr>
        <w:shd w:fill="6366f1" w:color="6366f1" w:val="clear"/>
        <w:spacing w:before="400" w:after="400"/>
        <w:ind w:left="400"/>
        <w:jc w:val="left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TERMS &amp; CONDITIONS</w:t>
      </w:r>
    </w:p>
    <w:p>
      <w:pPr>
        <w:spacing w:after="400"/>
      </w:pPr>
    </w:p>
    <w:p>
      <w:pPr>
        <w:spacing w:after="240" w:line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Payment terms: 70% upfront, 30% upon completion. All prices in USD. Quote valid for 30 days.</w:t>
      </w:r>
    </w:p>
    <w:p>
      <w:pPr>
        <w:spacing w:after="400"/>
      </w:pPr>
    </w:p>
    <w:p>
      <w:pPr>
        <w:shd w:fill="6366f1" w:color="6366f1" w:val="clear"/>
        <w:spacing w:before="400" w:after="400"/>
        <w:ind w:left="400"/>
        <w:jc w:val="left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ACCEPTANCE</w:t>
      </w:r>
    </w:p>
    <w:p>
      <w:pPr>
        <w:spacing w:after="400"/>
      </w:pPr>
    </w:p>
    <w:p>
      <w:pPr>
        <w:spacing w:after="240" w:line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By signing below, you agree to the terms and conditions outlined in this quotation.</w:t>
      </w:r>
    </w:p>
    <w:p>
      <w:pPr>
        <w:spacing w:after="400"/>
      </w:pPr>
    </w:p>
    <w:p>
      <w:pPr>
        <w:spacing w:after="400"/>
      </w:pPr>
    </w:p>
    <w:p>
      <w:pPr>
        <w:spacing w:after="240" w:line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_____________________________          Date: __________</w:t>
      </w:r>
    </w:p>
    <w:p>
      <w:pPr>
        <w:spacing w:after="240" w:line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Client Signature</w:t>
      </w:r>
    </w:p>
    <w:p>
      <w:pPr>
        <w:spacing w:after="400"/>
      </w:pPr>
    </w:p>
    <w:p>
      <w:pPr>
        <w:spacing w:after="240" w:line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_____________________________          Date: __________</w:t>
      </w:r>
    </w:p>
    <w:p>
      <w:pPr>
        <w:spacing w:after="240" w:line="3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MicroAI Systems Representative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2025-11-27T14:07:00.336Z</dcterms:created>
  <dcterms:modified xsi:type="dcterms:W3CDTF">2025-11-27T14:07:00.337Z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