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Científico: Confiabilidade Estrutural</w:t>
      </w:r>
    </w:p>
    <w:p>
      <w:pPr>
        <w:pStyle w:val="Heading1"/>
      </w:pPr>
      <w:r>
        <w:t>Resumo</w:t>
      </w:r>
    </w:p>
    <w:p>
      <w:r>
        <w:t>Objetivo: Avaliar a probabilidade de falha (flambagem elástica) de uma casca sob compressão axial sujeita a incertezas geométricas e de carregamento.</w:t>
      </w:r>
    </w:p>
    <w:p>
      <w:r>
        <w:t>Metodologia: Acoplamento de modelagem MEF paramétrica, Design of Experiments (CCD) para geração de base de dados, construção de Metamodelo (RSM) e solução probabilística via FORM com validação por Simulação de Monte Carlo.</w:t>
      </w:r>
    </w:p>
    <w:p>
      <w:r>
        <w:t>Principais Resultados: A estrutura apresentou Carga Crítica média na ordem de 1.72e+06 N. A superfície de resposta obteve aderência de R² = 1.0000. O índice de confiabilidade estimado foi β = 2.42, correspondendo a uma probabilidade de falha Pf = 7.85e-03.</w:t>
      </w:r>
    </w:p>
    <w:p>
      <w:r>
        <w:t>Conclusões: A metodologia RSM-FORM mostrou-se extremamente eficiente na redução do custo computacional das análises de confiabilidade mantendo altíssima precisão quando comparada ao método de Monte Carlo.</w:t>
      </w:r>
    </w:p>
    <w:p>
      <w:pPr>
        <w:pStyle w:val="Heading1"/>
      </w:pPr>
      <w:r>
        <w:t>1. Identificação do estudo</w:t>
      </w:r>
    </w:p>
    <w:p>
      <w:r>
        <w:t>Nome do caso: Confiabilidade de Casca Cilíndrica sob Flambagem</w:t>
      </w:r>
    </w:p>
    <w:p>
      <w:r>
        <w:t>Data e hora: 2026-07-07 00:21:48</w:t>
      </w:r>
    </w:p>
    <w:p>
      <w:r>
        <w:t>Versão: 1.0.0</w:t>
      </w:r>
    </w:p>
    <w:p>
      <w:pPr>
        <w:pStyle w:val="Heading1"/>
      </w:pPr>
      <w:r>
        <w:t>2. Descrição do modelo estrutural</w:t>
      </w:r>
    </w:p>
    <w:p>
      <w:r>
        <w:t>Tabela 1: Propriedades do Modelo MEF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Parâmetro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Raio (mm)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Comprimento (mm)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Espessura Média (mm)</w:t>
            </w:r>
          </w:p>
        </w:tc>
        <w:tc>
          <w:tcPr>
            <w:tcW w:type="dxa" w:w="4320"/>
          </w:tcPr>
          <w:p>
            <w:r>
              <w:t>1.8121465268260348</w:t>
            </w:r>
          </w:p>
        </w:tc>
      </w:tr>
      <w:tr>
        <w:tc>
          <w:tcPr>
            <w:tcW w:type="dxa" w:w="4320"/>
          </w:tcPr>
          <w:p>
            <w:r>
              <w:t>Módulo E (MPa)</w:t>
            </w:r>
          </w:p>
        </w:tc>
        <w:tc>
          <w:tcPr>
            <w:tcW w:type="dxa" w:w="4320"/>
          </w:tcPr>
          <w:p>
            <w:r>
              <w:t>200000.0</w:t>
            </w:r>
          </w:p>
        </w:tc>
      </w:tr>
      <w:tr>
        <w:tc>
          <w:tcPr>
            <w:tcW w:type="dxa" w:w="4320"/>
          </w:tcPr>
          <w:p>
            <w:r>
              <w:t>Coef. Poisson</w:t>
            </w:r>
          </w:p>
        </w:tc>
        <w:tc>
          <w:tcPr>
            <w:tcW w:type="dxa" w:w="4320"/>
          </w:tcPr>
          <w:p>
            <w:r>
              <w:t>0.3</w:t>
            </w:r>
          </w:p>
        </w:tc>
      </w:tr>
      <w:tr>
        <w:tc>
          <w:tcPr>
            <w:tcW w:type="dxa" w:w="4320"/>
          </w:tcPr>
          <w:p>
            <w:r>
              <w:t>Tipo de Elemento</w:t>
            </w:r>
          </w:p>
        </w:tc>
        <w:tc>
          <w:tcPr>
            <w:tcW w:type="dxa" w:w="4320"/>
          </w:tcPr>
          <w:p>
            <w:r>
              <w:t>QUAD4</w:t>
            </w:r>
          </w:p>
        </w:tc>
      </w:tr>
      <w:tr>
        <w:tc>
          <w:tcPr>
            <w:tcW w:type="dxa" w:w="4320"/>
          </w:tcPr>
          <w:p>
            <w:r>
              <w:t>Nós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Elementos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  <w:tr>
        <w:tc>
          <w:tcPr>
            <w:tcW w:type="dxa" w:w="4320"/>
          </w:tcPr>
          <w:p>
            <w:r>
              <w:t>Tipo Análise</w:t>
            </w:r>
          </w:p>
        </w:tc>
        <w:tc>
          <w:tcPr>
            <w:tcW w:type="dxa" w:w="4320"/>
          </w:tcPr>
          <w:p>
            <w:r>
              <w:t>linear_buckling</w:t>
            </w:r>
          </w:p>
        </w:tc>
      </w:tr>
      <w:tr>
        <w:tc>
          <w:tcPr>
            <w:tcW w:type="dxa" w:w="4320"/>
          </w:tcPr>
          <w:p>
            <w:r>
              <w:t>Tipo Análise</w:t>
            </w:r>
          </w:p>
        </w:tc>
        <w:tc>
          <w:tcPr>
            <w:tcW w:type="dxa" w:w="4320"/>
          </w:tcPr>
          <w:p>
            <w:r>
              <w:t>linear_buckling</w:t>
            </w:r>
          </w:p>
        </w:tc>
      </w:tr>
    </w:tbl>
    <w:p>
      <w:r>
        <w:t>Tabela 2: Configuração Numérica do Solver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Formulação / Método</w:t>
            </w:r>
          </w:p>
        </w:tc>
      </w:tr>
      <w:tr>
        <w:tc>
          <w:tcPr>
            <w:tcW w:type="dxa" w:w="4320"/>
          </w:tcPr>
          <w:p>
            <w:r>
              <w:t>Teoria de Cascas</w:t>
            </w:r>
          </w:p>
        </w:tc>
        <w:tc>
          <w:tcPr>
            <w:tcW w:type="dxa" w:w="4320"/>
          </w:tcPr>
          <w:p>
            <w:r>
              <w:t>Mindlin-Reissner Degenerada (Thick/Thin Shells)</w:t>
            </w:r>
          </w:p>
        </w:tc>
      </w:tr>
      <w:tr>
        <w:tc>
          <w:tcPr>
            <w:tcW w:type="dxa" w:w="4320"/>
          </w:tcPr>
          <w:p>
            <w:r>
              <w:t>Medida de Deformação</w:t>
            </w:r>
          </w:p>
        </w:tc>
        <w:tc>
          <w:tcPr>
            <w:tcW w:type="dxa" w:w="4320"/>
          </w:tcPr>
          <w:p>
            <w:r>
              <w:t>Green-Lagrange (Formulação Updated Lagrangian no regime NLGEOM)</w:t>
            </w:r>
          </w:p>
        </w:tc>
      </w:tr>
      <w:tr>
        <w:tc>
          <w:tcPr>
            <w:tcW w:type="dxa" w:w="4320"/>
          </w:tcPr>
          <w:p>
            <w:r>
              <w:t>Algoritmo de Solução</w:t>
            </w:r>
          </w:p>
        </w:tc>
        <w:tc>
          <w:tcPr>
            <w:tcW w:type="dxa" w:w="4320"/>
          </w:tcPr>
          <w:p>
            <w:r>
              <w:t>Newton-Raphson com Controle de Carga / Autovalor Generalizado (Lanczos)</w:t>
            </w:r>
          </w:p>
        </w:tc>
      </w:tr>
      <w:tr>
        <w:tc>
          <w:tcPr>
            <w:tcW w:type="dxa" w:w="4320"/>
          </w:tcPr>
          <w:p>
            <w:r>
              <w:t>Integração Numérica</w:t>
            </w:r>
          </w:p>
        </w:tc>
        <w:tc>
          <w:tcPr>
            <w:tcW w:type="dxa" w:w="4320"/>
          </w:tcPr>
          <w:p>
            <w:r>
              <w:t>Quadratura de Gauss 2x2 (Membrana + Flexão)</w:t>
            </w:r>
          </w:p>
        </w:tc>
      </w:tr>
      <w:tr>
        <w:tc>
          <w:tcPr>
            <w:tcW w:type="dxa" w:w="4320"/>
          </w:tcPr>
          <w:p>
            <w:r>
              <w:t>Graus de Liberdade por Nó</w:t>
            </w:r>
          </w:p>
        </w:tc>
        <w:tc>
          <w:tcPr>
            <w:tcW w:type="dxa" w:w="4320"/>
          </w:tcPr>
          <w:p>
            <w:r>
              <w:t>6 (3 translações, 3 rotações, com rigidez fictícia no drilling DOF)</w:t>
            </w:r>
          </w:p>
        </w:tc>
      </w:tr>
      <w:tr>
        <w:tc>
          <w:tcPr>
            <w:tcW w:type="dxa" w:w="4320"/>
          </w:tcPr>
          <w:p>
            <w:r>
              <w:t>Tipo de Elemento</w:t>
            </w:r>
          </w:p>
        </w:tc>
        <w:tc>
          <w:tcPr>
            <w:tcW w:type="dxa" w:w="4320"/>
          </w:tcPr>
          <w:p>
            <w:r>
              <w:t>QUAD4</w:t>
            </w:r>
          </w:p>
        </w:tc>
      </w:tr>
      <w:tr>
        <w:tc>
          <w:tcPr>
            <w:tcW w:type="dxa" w:w="4320"/>
          </w:tcPr>
          <w:p>
            <w:r>
              <w:t>Critério de Convergência</w:t>
            </w:r>
          </w:p>
        </w:tc>
        <w:tc>
          <w:tcPr>
            <w:tcW w:type="dxa" w:w="4320"/>
          </w:tcPr>
          <w:p>
            <w:r>
              <w:t>Norma Residual &lt; 1e-4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1: Malha original do cilindro (MEF)</w:t>
      </w:r>
    </w:p>
    <w:p>
      <w:pPr>
        <w:pStyle w:val="Heading1"/>
      </w:pPr>
      <w:r>
        <w:t>3. Fundamentação Matemática</w:t>
      </w:r>
    </w:p>
    <w:p>
      <w:pPr>
        <w:pStyle w:val="Heading2"/>
      </w:pPr>
      <w:r>
        <w:t>Problema de Flambagem Linear</w:t>
      </w:r>
    </w:p>
    <w:p>
      <w:r>
        <w:t>A carga crítica de flambagem elástica é obtida pela solução do problema de autovalor generalizado:</w:t>
        <w:br/>
        <w:t>$(K + \lambda K_g)\phi = 0$</w:t>
        <w:br/>
        <w:t>onde $K$ é a rigidez elástica, $K_g$ a rigidez geométrica e $\lambda$ o multiplicador de carga.</w:t>
      </w:r>
    </w:p>
    <w:p>
      <w:pPr>
        <w:pStyle w:val="Heading2"/>
      </w:pPr>
      <w:r>
        <w:t>Imperfeições Geométricas</w:t>
      </w:r>
    </w:p>
    <w:p>
      <w:r>
        <w:t>Na formulação adotada neste trabalho, baseada na análise de flambagem linear por autovalores, observou-se baixa sensibilidade da carga crítica às pequenas imperfeições geométricas consideradas. A redução significativa da carga resistente (knock-down factor) é um fenômeno associado à análise geométrica não linear de pós-flambagem, não contemplada neste estudo.</w:t>
      </w:r>
    </w:p>
    <w:p>
      <w:pPr>
        <w:pStyle w:val="Heading2"/>
      </w:pPr>
      <w:r>
        <w:t>Função de Estado Limite (LSF)</w:t>
      </w:r>
    </w:p>
    <w:p>
      <w:r>
        <w:t>A Margem de Segurança é definida classicamente por Capacidade (R) menos Demanda (S):</w:t>
        <w:br/>
        <w:t>$g(X) = P_{cr}(X) - P$</w:t>
        <w:br/>
        <w:t>Falhas ocorrem no domínio $g(X) \le 0$.</w:t>
      </w:r>
    </w:p>
    <w:p>
      <w:pPr>
        <w:pStyle w:val="Heading2"/>
      </w:pPr>
      <w:r>
        <w:t>Método da Superfície de Resposta (RSM)</w:t>
      </w:r>
    </w:p>
    <w:p>
      <w:r>
        <w:t>Substitui o custoso solver numérico do MEF por uma regressão polinomial (ex: quadrática):</w:t>
        <w:br/>
        <w:t>$y = \beta_0 + \sum \beta_i x_i + \sum \beta_{ii} x_i^2 + \sum \beta_{ij} x_i x_j$</w:t>
      </w:r>
    </w:p>
    <w:p>
      <w:pPr>
        <w:pStyle w:val="Heading2"/>
      </w:pPr>
      <w:r>
        <w:t>FORM (Algoritmo HLRF)</w:t>
      </w:r>
    </w:p>
    <w:p>
      <w:r>
        <w:t>Busca o Ponto Mais Provável de Falha (MPP) através da linearização iterativa de $g(X)$ no espaço normal padrão reduzido (U):</w:t>
        <w:br/>
        <w:t>$\beta = \mathbf{u}^* \cdot \boldsymbol{\alpha}$</w:t>
      </w:r>
    </w:p>
    <w:p>
      <w:pPr>
        <w:pStyle w:val="Heading2"/>
      </w:pPr>
      <w:r>
        <w:t>Simulação de Monte Carlo</w:t>
      </w:r>
    </w:p>
    <w:p>
      <w:r>
        <w:t>Avalia o limite de estado para um vasto espaço amostral (N):</w:t>
        <w:br/>
        <w:t>$P_f \approx \frac{N_f}{N}$</w:t>
      </w:r>
    </w:p>
    <w:p>
      <w:pPr>
        <w:pStyle w:val="Heading1"/>
      </w:pPr>
      <w:r>
        <w:t>4. Resultados determinísticos do MEF</w:t>
      </w:r>
    </w:p>
    <w:p>
      <w:r>
        <w:t>Tabela 3: Saídas do Solver Linear Buckling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Carga Crítica (N)</w:t>
            </w:r>
          </w:p>
        </w:tc>
        <w:tc>
          <w:tcPr>
            <w:tcW w:type="dxa" w:w="4320"/>
          </w:tcPr>
          <w:p>
            <w:r>
              <w:t>1.8887e+06</w:t>
            </w:r>
          </w:p>
        </w:tc>
      </w:tr>
      <w:tr>
        <w:tc>
          <w:tcPr>
            <w:tcW w:type="dxa" w:w="4320"/>
          </w:tcPr>
          <w:p>
            <w:r>
              <w:t>Convergência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t>Tempo (s)</w:t>
            </w:r>
          </w:p>
        </w:tc>
        <w:tc>
          <w:tcPr>
            <w:tcW w:type="dxa" w:w="4320"/>
          </w:tcPr>
          <w:p>
            <w:r>
              <w:t>0.15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odo_flambag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2: Primeiro modo de flambagem</w:t>
      </w:r>
    </w:p>
    <w:p>
      <w:pPr>
        <w:pStyle w:val="Heading1"/>
      </w:pPr>
      <w:r>
        <w:t>4. Definição das variáveis aleatórias</w:t>
      </w:r>
    </w:p>
    <w:p>
      <w:r>
        <w:t>Tabela 4: Variáveis Estocásticas Injetadas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Nome</w:t>
            </w:r>
          </w:p>
        </w:tc>
        <w:tc>
          <w:tcPr>
            <w:tcW w:type="dxa" w:w="1728"/>
          </w:tcPr>
          <w:p>
            <w:r>
              <w:t>Distribuição</w:t>
            </w:r>
          </w:p>
        </w:tc>
        <w:tc>
          <w:tcPr>
            <w:tcW w:type="dxa" w:w="1728"/>
          </w:tcPr>
          <w:p>
            <w:r>
              <w:t>Média</w:t>
            </w:r>
          </w:p>
        </w:tc>
        <w:tc>
          <w:tcPr>
            <w:tcW w:type="dxa" w:w="1728"/>
          </w:tcPr>
          <w:p>
            <w:r>
              <w:t>Desvio Padrão</w:t>
            </w:r>
          </w:p>
        </w:tc>
        <w:tc>
          <w:tcPr>
            <w:tcW w:type="dxa" w:w="1728"/>
          </w:tcPr>
          <w:p>
            <w:r>
              <w:t>C.O.V (%)</w:t>
            </w:r>
          </w:p>
        </w:tc>
      </w:tr>
      <w:tr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1.9000e+00</w:t>
            </w:r>
          </w:p>
        </w:tc>
        <w:tc>
          <w:tcPr>
            <w:tcW w:type="dxa" w:w="1728"/>
          </w:tcPr>
          <w:p>
            <w:r>
              <w:t>1.0000e-01</w:t>
            </w:r>
          </w:p>
        </w:tc>
        <w:tc>
          <w:tcPr>
            <w:tcW w:type="dxa" w:w="1728"/>
          </w:tcPr>
          <w:p>
            <w:r>
              <w:t>5.26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Lognormal</w:t>
            </w:r>
          </w:p>
        </w:tc>
        <w:tc>
          <w:tcPr>
            <w:tcW w:type="dxa" w:w="1728"/>
          </w:tcPr>
          <w:p>
            <w:r>
              <w:t>5.0000e-01</w:t>
            </w:r>
          </w:p>
        </w:tc>
        <w:tc>
          <w:tcPr>
            <w:tcW w:type="dxa" w:w="1728"/>
          </w:tcPr>
          <w:p>
            <w:r>
              <w:t>1.0000e-01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</w:tr>
      <w:tr>
        <w:tc>
          <w:tcPr>
            <w:tcW w:type="dxa" w:w="1728"/>
          </w:tcPr>
          <w:p>
            <w:r>
              <w:t>P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1.1000e+06</w:t>
            </w:r>
          </w:p>
        </w:tc>
        <w:tc>
          <w:tcPr>
            <w:tcW w:type="dxa" w:w="1728"/>
          </w:tcPr>
          <w:p>
            <w:r>
              <w:t>2.0000e+05</w:t>
            </w:r>
          </w:p>
        </w:tc>
        <w:tc>
          <w:tcPr>
            <w:tcW w:type="dxa" w:w="1728"/>
          </w:tcPr>
          <w:p>
            <w:r>
              <w:t>18.18</w:t>
            </w:r>
          </w:p>
        </w:tc>
      </w:tr>
    </w:tbl>
    <w:p>
      <w:pPr>
        <w:pStyle w:val="Heading1"/>
      </w:pPr>
      <w:r>
        <w:t>13. Validação Numérica e Rastreabilidade</w:t>
      </w:r>
    </w:p>
    <w:p>
      <w:r>
        <w:t>Tabela 5: Sumário das calibrações de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Patch Test</w:t>
            </w:r>
          </w:p>
        </w:tc>
        <w:tc>
          <w:tcPr>
            <w:tcW w:type="dxa" w:w="4320"/>
          </w:tcPr>
          <w:p>
            <w:r>
              <w:t>OK (Membrana + Flexão)</w:t>
            </w:r>
          </w:p>
        </w:tc>
      </w:tr>
      <w:tr>
        <w:tc>
          <w:tcPr>
            <w:tcW w:type="dxa" w:w="4320"/>
          </w:tcPr>
          <w:p>
            <w:r>
              <w:t>Solução Analítica Estática</w:t>
            </w:r>
          </w:p>
        </w:tc>
        <w:tc>
          <w:tcPr>
            <w:tcW w:type="dxa" w:w="4320"/>
          </w:tcPr>
          <w:p>
            <w:r>
              <w:t>OK (Teoria de Vigas Clássica)</w:t>
            </w:r>
          </w:p>
        </w:tc>
      </w:tr>
      <w:tr>
        <w:tc>
          <w:tcPr>
            <w:tcW w:type="dxa" w:w="4320"/>
          </w:tcPr>
          <w:p>
            <w:r>
              <w:t>Comparação Abaqus</w:t>
            </w:r>
          </w:p>
        </w:tc>
        <w:tc>
          <w:tcPr>
            <w:tcW w:type="dxa" w:w="4320"/>
          </w:tcPr>
          <w:p>
            <w:r>
              <w:t>OK (Desvio aceitável no Flambagem Linear)</w:t>
            </w:r>
          </w:p>
        </w:tc>
      </w:tr>
      <w:tr>
        <w:tc>
          <w:tcPr>
            <w:tcW w:type="dxa" w:w="4320"/>
          </w:tcPr>
          <w:p>
            <w:r>
              <w:t>Hold-Out RSM</w:t>
            </w:r>
          </w:p>
        </w:tc>
        <w:tc>
          <w:tcPr>
            <w:tcW w:type="dxa" w:w="4320"/>
          </w:tcPr>
          <w:p>
            <w:r>
              <w:t>OK (Aderência com R² &gt; 0.99)</w:t>
            </w:r>
          </w:p>
        </w:tc>
      </w:tr>
      <w:tr>
        <w:tc>
          <w:tcPr>
            <w:tcW w:type="dxa" w:w="4320"/>
          </w:tcPr>
          <w:p>
            <w:r>
              <w:t>FORM vs MC</w:t>
            </w:r>
          </w:p>
        </w:tc>
        <w:tc>
          <w:tcPr>
            <w:tcW w:type="dxa" w:w="4320"/>
          </w:tcPr>
          <w:p>
            <w:r>
              <w:t>OK (Erros controlados)</w:t>
            </w:r>
          </w:p>
        </w:tc>
      </w:tr>
    </w:tbl>
    <w:p>
      <w:r>
        <w:t>Tabela 6: Comparativo de Predição Probabilística (FORM vs Monte Carlo)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Método</w:t>
            </w:r>
          </w:p>
        </w:tc>
        <w:tc>
          <w:tcPr>
            <w:tcW w:type="dxa" w:w="1728"/>
          </w:tcPr>
          <w:p>
            <w:r>
              <w:t>Amostras</w:t>
            </w:r>
          </w:p>
        </w:tc>
        <w:tc>
          <w:tcPr>
            <w:tcW w:type="dxa" w:w="1728"/>
          </w:tcPr>
          <w:p>
            <w:r>
              <w:t>Pf</w:t>
            </w:r>
          </w:p>
        </w:tc>
        <w:tc>
          <w:tcPr>
            <w:tcW w:type="dxa" w:w="1728"/>
          </w:tcPr>
          <w:p>
            <w:r>
              <w:t>Beta</w:t>
            </w:r>
          </w:p>
        </w:tc>
        <w:tc>
          <w:tcPr>
            <w:tcW w:type="dxa" w:w="1728"/>
          </w:tcPr>
          <w:p>
            <w:r>
              <w:t>Erro Rel. Pf (%)</w:t>
            </w:r>
          </w:p>
        </w:tc>
      </w:tr>
      <w:tr>
        <w:tc>
          <w:tcPr>
            <w:tcW w:type="dxa" w:w="1728"/>
          </w:tcPr>
          <w:p>
            <w:r>
              <w:t>FORM</w:t>
            </w:r>
          </w:p>
        </w:tc>
        <w:tc>
          <w:tcPr>
            <w:tcW w:type="dxa" w:w="1728"/>
          </w:tcPr>
          <w:p>
            <w:r>
              <w:t>O(10) (Iterativo)</w:t>
            </w:r>
          </w:p>
        </w:tc>
        <w:tc>
          <w:tcPr>
            <w:tcW w:type="dxa" w:w="1728"/>
          </w:tcPr>
          <w:p>
            <w:r>
              <w:t>7.8455e-03</w:t>
            </w:r>
          </w:p>
        </w:tc>
        <w:tc>
          <w:tcPr>
            <w:tcW w:type="dxa" w:w="1728"/>
          </w:tcPr>
          <w:p>
            <w:r>
              <w:t>2.4160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Monte Carlo</w:t>
            </w:r>
          </w:p>
        </w:tc>
        <w:tc>
          <w:tcPr>
            <w:tcW w:type="dxa" w:w="1728"/>
          </w:tcPr>
          <w:p>
            <w:r>
              <w:t>1000000</w:t>
            </w:r>
          </w:p>
        </w:tc>
        <w:tc>
          <w:tcPr>
            <w:tcW w:type="dxa" w:w="1728"/>
          </w:tcPr>
          <w:p>
            <w:r>
              <w:t>7.7610e-03</w:t>
            </w:r>
          </w:p>
        </w:tc>
        <w:tc>
          <w:tcPr>
            <w:tcW w:type="dxa" w:w="1728"/>
          </w:tcPr>
          <w:p>
            <w:r>
              <w:t>2.4200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</w:tr>
    </w:tbl>
    <w:p>
      <w:pPr>
        <w:pStyle w:val="Heading1"/>
      </w:pPr>
      <w:r>
        <w:t>14. Discussão e Interpretação de Resultados</w:t>
      </w:r>
    </w:p>
    <w:p>
      <w:r>
        <w:t>Comentários Técnicos Automáticos:</w:t>
        <w:br/>
        <w:br/>
        <w:t>O ajuste da Superfície de Resposta (RSM) apresentou altíssima aderência ($R^2 &gt; 0.99$), eliminando o ruído metamodelo e garantindo altíssima fidelidade às respostas do MEF.</w:t>
        <w:br/>
        <w:t>O índice de Confiabilidade $\beta = 2.42$ reflete a distância geométrica do hiperplano de falha até a origem no espaço $U$. Esta estrutura é classificada como **Segurança Aceitável** ($2 \le \beta &lt; 3$). Opera em limiares razoáveis, típica de estados limites de serviço ou estruturas secundárias.</w:t>
        <w:br/>
        <w:t>**Análise de Influência Direta:** A variável `P` dominou a variância de falha da estrutura ($\alpha^2 \approx 61.8\%$). A demanda estocástica ditou a incerteza do problema. Independentemente das tolerâncias geométricas da estrutura, a variabilidade bruta do carregamento foi extrema o suficiente para anular o controle sobre a resistência.</w:t>
      </w:r>
    </w:p>
    <w:p>
      <w:pPr>
        <w:pStyle w:val="Heading1"/>
      </w:pPr>
      <w:r>
        <w:t>15. Validação Física dos Resultados</w:t>
      </w:r>
    </w:p>
    <w:p>
      <w:r>
        <w:t>✔ O índice Beta calculado é positivo, compatível com médias de capacidade superiores à demanda.</w:t>
      </w:r>
    </w:p>
    <w:p>
      <w:r>
        <w:t>✔ A superfície de resposta ajustada apresentou altíssima correlação física com o modelo de elementos finitos.</w:t>
      </w:r>
    </w:p>
    <w:p>
      <w:r>
        <w:t>✔ A sensibilidade do fator direcional de falha apontou `P` como vetor de maior gradiente, fenômeno compatível com as equações governantes do comportamento mecânico.</w:t>
      </w:r>
    </w:p>
    <w:p>
      <w:pPr>
        <w:pStyle w:val="Heading1"/>
      </w:pPr>
      <w:r>
        <w:t>16. Limitações do Estudo</w:t>
      </w:r>
    </w:p>
    <w:p>
      <w:pPr>
        <w:pStyle w:val="ListBullet"/>
      </w:pPr>
      <w:r>
        <w:t>**DOE (CCD)**: Restringe o aprendizado preditivo a um hipercubo amostral. Avaliações muito fora desse espectro (extrapolações severas) perdem precisão drástica.</w:t>
      </w:r>
    </w:p>
    <w:p>
      <w:pPr>
        <w:pStyle w:val="ListBullet"/>
      </w:pPr>
      <w:r>
        <w:t>**Metamodelo RSM**: Assume superfície polinomial contínua (grau 2). Bifurcações abruptas de ramos secundários de flambagem podem não ser capturadas por uma única quadrática.</w:t>
      </w:r>
    </w:p>
    <w:p>
      <w:pPr>
        <w:pStyle w:val="ListBullet"/>
      </w:pPr>
      <w:r>
        <w:t>**Modelo Estrutural (Eigenbuckling)**: Avaliação puramente baseada na perda de rigidez elástica tangencial por matriz geométrica $K_g$, sem iterar o caminho de equilíbrio deformado real.</w:t>
      </w:r>
    </w:p>
    <w:p>
      <w:pPr>
        <w:pStyle w:val="Heading1"/>
      </w:pPr>
      <w:r>
        <w:t>17. Desempenho Computacional</w:t>
      </w:r>
    </w:p>
    <w:p>
      <w:r>
        <w:t>Tabela 7: Profiling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Etapa</w:t>
            </w:r>
          </w:p>
        </w:tc>
        <w:tc>
          <w:tcPr>
            <w:tcW w:type="dxa" w:w="4320"/>
          </w:tcPr>
          <w:p>
            <w:r>
              <w:t>Tempo (s)</w:t>
            </w:r>
          </w:p>
        </w:tc>
      </w:tr>
      <w:tr>
        <w:tc>
          <w:tcPr>
            <w:tcW w:type="dxa" w:w="4320"/>
          </w:tcPr>
          <w:p>
            <w:r>
              <w:t>DOE (Amostragem)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t>MEF (Soluções de Eigenbuckling)</w:t>
            </w:r>
          </w:p>
        </w:tc>
        <w:tc>
          <w:tcPr>
            <w:tcW w:type="dxa" w:w="4320"/>
          </w:tcPr>
          <w:p>
            <w:r>
              <w:t>10.2864</w:t>
            </w:r>
          </w:p>
        </w:tc>
      </w:tr>
      <w:tr>
        <w:tc>
          <w:tcPr>
            <w:tcW w:type="dxa" w:w="4320"/>
          </w:tcPr>
          <w:p>
            <w:r>
              <w:t>RSM (Treinamento OLS)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t>FORM (Otimização HLRF)</w:t>
            </w:r>
          </w:p>
        </w:tc>
        <w:tc>
          <w:tcPr>
            <w:tcW w:type="dxa" w:w="4320"/>
          </w:tcPr>
          <w:p>
            <w:r>
              <w:t>0.0083</w:t>
            </w:r>
          </w:p>
        </w:tc>
      </w:tr>
      <w:tr>
        <w:tc>
          <w:tcPr>
            <w:tcW w:type="dxa" w:w="4320"/>
          </w:tcPr>
          <w:p>
            <w:r>
              <w:t>Monte Carlo (1M Amostras)</w:t>
            </w:r>
          </w:p>
        </w:tc>
        <w:tc>
          <w:tcPr>
            <w:tcW w:type="dxa" w:w="4320"/>
          </w:tcPr>
          <w:p>
            <w:r>
              <w:t>0.1866</w:t>
            </w:r>
          </w:p>
        </w:tc>
      </w:tr>
      <w:tr>
        <w:tc>
          <w:tcPr>
            <w:tcW w:type="dxa" w:w="4320"/>
          </w:tcPr>
          <w:p>
            <w:r>
              <w:t>Tempo Total</w:t>
            </w:r>
          </w:p>
        </w:tc>
        <w:tc>
          <w:tcPr>
            <w:tcW w:type="dxa" w:w="4320"/>
          </w:tcPr>
          <w:p>
            <w:r>
              <w:t>21.6522</w:t>
            </w:r>
          </w:p>
        </w:tc>
      </w:tr>
    </w:tbl>
    <w:p>
      <w:pPr>
        <w:pStyle w:val="Heading1"/>
      </w:pPr>
      <w:r>
        <w:t>18. Considerações Finais</w:t>
      </w:r>
    </w:p>
    <w:p>
      <w:pPr>
        <w:pStyle w:val="ListBullet"/>
      </w:pPr>
      <w:r>
        <w:t>A cadeia de avaliação estocástica automatizada (Python + MEF + Confiabilidade) demonstrou ser uma ferramenta altamente eficiente para pesquisa em estabilidade.</w:t>
      </w:r>
    </w:p>
    <w:p>
      <w:pPr>
        <w:pStyle w:val="ListBullet"/>
      </w:pPr>
      <w:r>
        <w:t>O framework pode ser naturalmente expandido para englobar métodos de superfície mais refinados (Kriging, Redes Neurais, PCE).</w:t>
      </w:r>
    </w:p>
    <w:p>
      <w:pPr>
        <w:pStyle w:val="ListBullet"/>
      </w:pPr>
      <w:r>
        <w:t>Trabalhos futuros devem habilitar a análise estática não-linear (Riks/Crisfield) com modelo material elastoplástico de Von Mises para captação do colapso completo da casca imperfeita.</w:t>
      </w:r>
    </w:p>
    <w:p>
      <w:pPr>
        <w:pStyle w:val="Heading1"/>
      </w:pPr>
      <w:r>
        <w:t>Apêndice: Metodologia Numérica</w:t>
      </w:r>
    </w:p>
    <w:p>
      <w:r>
        <w:drawing>
          <wp:inline xmlns:a="http://schemas.openxmlformats.org/drawingml/2006/main" xmlns:pic="http://schemas.openxmlformats.org/drawingml/2006/picture">
            <wp:extent cx="4572000" cy="5992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ux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92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3: Fluxograma Metodológico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