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Relatório Científico: Confiabilidade Estrutural</w:t>
      </w:r>
    </w:p>
    <w:p>
      <w:pPr>
        <w:pStyle w:val="Heading1"/>
      </w:pPr>
      <w:r>
        <w:t>1. Identificação do estudo</w:t>
      </w:r>
    </w:p>
    <w:p>
      <w:r>
        <w:t>Nome do caso: Confiabilidade de Casca Cilíndrica sob Flambagem</w:t>
      </w:r>
    </w:p>
    <w:p>
      <w:r>
        <w:t>Data e hora: 2026-06-28 03:22:23</w:t>
      </w:r>
    </w:p>
    <w:p>
      <w:r>
        <w:t>Versão: 1.0.0</w:t>
      </w:r>
    </w:p>
    <w:p>
      <w:pPr>
        <w:pStyle w:val="Heading1"/>
      </w:pPr>
      <w:r>
        <w:t>2. Descrição do modelo estrutural</w:t>
      </w:r>
    </w:p>
    <w:p>
      <w:r>
        <w:t>Tabela 1: Propriedades do Modelo MEF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Parâmetro</w:t>
            </w:r>
          </w:p>
        </w:tc>
        <w:tc>
          <w:tcPr>
            <w:tcW w:type="dxa" w:w="4320"/>
          </w:tcPr>
          <w:p>
            <w:r>
              <w:t>Valor</w:t>
            </w:r>
          </w:p>
        </w:tc>
      </w:tr>
      <w:tr>
        <w:tc>
          <w:tcPr>
            <w:tcW w:type="dxa" w:w="4320"/>
          </w:tcPr>
          <w:p>
            <w:r>
              <w:t>Raio (mm)</w:t>
            </w:r>
          </w:p>
        </w:tc>
        <w:tc>
          <w:tcPr>
            <w:tcW w:type="dxa" w:w="4320"/>
          </w:tcPr>
          <w:p>
            <w:r>
              <w:t>100.0</w:t>
            </w:r>
          </w:p>
        </w:tc>
      </w:tr>
      <w:tr>
        <w:tc>
          <w:tcPr>
            <w:tcW w:type="dxa" w:w="4320"/>
          </w:tcPr>
          <w:p>
            <w:r>
              <w:t>Comprimento (mm)</w:t>
            </w:r>
          </w:p>
        </w:tc>
        <w:tc>
          <w:tcPr>
            <w:tcW w:type="dxa" w:w="4320"/>
          </w:tcPr>
          <w:p>
            <w:r>
              <w:t>1000.0</w:t>
            </w:r>
          </w:p>
        </w:tc>
      </w:tr>
      <w:tr>
        <w:tc>
          <w:tcPr>
            <w:tcW w:type="dxa" w:w="4320"/>
          </w:tcPr>
          <w:p>
            <w:r>
              <w:t>Espessura Média (mm)</w:t>
            </w:r>
          </w:p>
        </w:tc>
        <w:tc>
          <w:tcPr>
            <w:tcW w:type="dxa" w:w="4320"/>
          </w:tcPr>
          <w:p>
            <w:r>
              <w:t>1.7135972758324518</w:t>
            </w:r>
          </w:p>
        </w:tc>
      </w:tr>
      <w:tr>
        <w:tc>
          <w:tcPr>
            <w:tcW w:type="dxa" w:w="4320"/>
          </w:tcPr>
          <w:p>
            <w:r>
              <w:t>Módulo E (MPa)</w:t>
            </w:r>
          </w:p>
        </w:tc>
        <w:tc>
          <w:tcPr>
            <w:tcW w:type="dxa" w:w="4320"/>
          </w:tcPr>
          <w:p>
            <w:r>
              <w:t>200000.0</w:t>
            </w:r>
          </w:p>
        </w:tc>
      </w:tr>
      <w:tr>
        <w:tc>
          <w:tcPr>
            <w:tcW w:type="dxa" w:w="4320"/>
          </w:tcPr>
          <w:p>
            <w:r>
              <w:t>Coef. Poisson</w:t>
            </w:r>
          </w:p>
        </w:tc>
        <w:tc>
          <w:tcPr>
            <w:tcW w:type="dxa" w:w="4320"/>
          </w:tcPr>
          <w:p>
            <w:r>
              <w:t>0.3</w:t>
            </w:r>
          </w:p>
        </w:tc>
      </w:tr>
      <w:tr>
        <w:tc>
          <w:tcPr>
            <w:tcW w:type="dxa" w:w="4320"/>
          </w:tcPr>
          <w:p>
            <w:r>
              <w:t>Tipo de Elemento</w:t>
            </w:r>
          </w:p>
        </w:tc>
        <w:tc>
          <w:tcPr>
            <w:tcW w:type="dxa" w:w="4320"/>
          </w:tcPr>
          <w:p>
            <w:r>
              <w:t>QUAD4</w:t>
            </w:r>
          </w:p>
        </w:tc>
      </w:tr>
      <w:tr>
        <w:tc>
          <w:tcPr>
            <w:tcW w:type="dxa" w:w="4320"/>
          </w:tcPr>
          <w:p>
            <w:r>
              <w:t>Nós</w:t>
            </w:r>
          </w:p>
        </w:tc>
        <w:tc>
          <w:tcPr>
            <w:tcW w:type="dxa" w:w="4320"/>
          </w:tcPr>
          <w:p>
            <w:r>
              <w:t>190</w:t>
            </w:r>
          </w:p>
        </w:tc>
      </w:tr>
      <w:tr>
        <w:tc>
          <w:tcPr>
            <w:tcW w:type="dxa" w:w="4320"/>
          </w:tcPr>
          <w:p>
            <w:r>
              <w:t>Elementos</w:t>
            </w:r>
          </w:p>
        </w:tc>
        <w:tc>
          <w:tcPr>
            <w:tcW w:type="dxa" w:w="4320"/>
          </w:tcPr>
          <w:p>
            <w:r>
              <w:t>180</w:t>
            </w:r>
          </w:p>
        </w:tc>
      </w:tr>
      <w:tr>
        <w:tc>
          <w:tcPr>
            <w:tcW w:type="dxa" w:w="4320"/>
          </w:tcPr>
          <w:p>
            <w:r>
              <w:t>Tipo Análise</w:t>
            </w:r>
          </w:p>
        </w:tc>
        <w:tc>
          <w:tcPr>
            <w:tcW w:type="dxa" w:w="4320"/>
          </w:tcPr>
          <w:p>
            <w:r>
              <w:t>linear_buckling</w:t>
            </w:r>
          </w:p>
        </w:tc>
      </w:tr>
    </w:tbl>
    <w:p/>
    <w:p>
      <w:r>
        <w:drawing>
          <wp:inline xmlns:a="http://schemas.openxmlformats.org/drawingml/2006/main" xmlns:pic="http://schemas.openxmlformats.org/drawingml/2006/picture">
            <wp:extent cx="4572000" cy="3429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malha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29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Figura 1: Malha original do cilindro (MEF)</w:t>
      </w:r>
    </w:p>
    <w:p>
      <w:pPr>
        <w:pStyle w:val="Heading1"/>
      </w:pPr>
      <w:r>
        <w:t>3. Resultados determinísticos do MEF</w:t>
      </w:r>
    </w:p>
    <w:p>
      <w:r>
        <w:t>Tabela 2: Saídas do Solver Linear Buckling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Métrica</w:t>
            </w:r>
          </w:p>
        </w:tc>
        <w:tc>
          <w:tcPr>
            <w:tcW w:type="dxa" w:w="4320"/>
          </w:tcPr>
          <w:p>
            <w:r>
              <w:t>Valor</w:t>
            </w:r>
          </w:p>
        </w:tc>
      </w:tr>
      <w:tr>
        <w:tc>
          <w:tcPr>
            <w:tcW w:type="dxa" w:w="4320"/>
          </w:tcPr>
          <w:p>
            <w:r>
              <w:t>Carga Crítica (N)</w:t>
            </w:r>
          </w:p>
        </w:tc>
        <w:tc>
          <w:tcPr>
            <w:tcW w:type="dxa" w:w="4320"/>
          </w:tcPr>
          <w:p>
            <w:r>
              <w:t>1.4231e+06</w:t>
            </w:r>
          </w:p>
        </w:tc>
      </w:tr>
      <w:tr>
        <w:tc>
          <w:tcPr>
            <w:tcW w:type="dxa" w:w="4320"/>
          </w:tcPr>
          <w:p>
            <w:r>
              <w:t>Convergência</w:t>
            </w:r>
          </w:p>
        </w:tc>
        <w:tc>
          <w:tcPr>
            <w:tcW w:type="dxa" w:w="4320"/>
          </w:tcPr>
          <w:p>
            <w:r>
              <w:t>Sucesso</w:t>
            </w:r>
          </w:p>
        </w:tc>
      </w:tr>
      <w:tr>
        <w:tc>
          <w:tcPr>
            <w:tcW w:type="dxa" w:w="4320"/>
          </w:tcPr>
          <w:p>
            <w:r>
              <w:t>Tempo (s)</w:t>
            </w:r>
          </w:p>
        </w:tc>
        <w:tc>
          <w:tcPr>
            <w:tcW w:type="dxa" w:w="4320"/>
          </w:tcPr>
          <w:p>
            <w:r>
              <w:t>0.15</w:t>
            </w:r>
          </w:p>
        </w:tc>
      </w:tr>
    </w:tbl>
    <w:p/>
    <w:p>
      <w:r>
        <w:drawing>
          <wp:inline xmlns:a="http://schemas.openxmlformats.org/drawingml/2006/main" xmlns:pic="http://schemas.openxmlformats.org/drawingml/2006/picture">
            <wp:extent cx="4572000" cy="34290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modo_flambagem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29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Figura 2: Primeiro modo de flambagem</w:t>
      </w:r>
    </w:p>
    <w:p>
      <w:pPr>
        <w:pStyle w:val="Heading1"/>
      </w:pPr>
      <w:r>
        <w:t>4. Definição das variáveis aleatórias</w:t>
      </w:r>
    </w:p>
    <w:p>
      <w:r>
        <w:t>Tabela 3: Variáveis Estocásticas Injetadas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t>Nome</w:t>
            </w:r>
          </w:p>
        </w:tc>
        <w:tc>
          <w:tcPr>
            <w:tcW w:type="dxa" w:w="1728"/>
          </w:tcPr>
          <w:p>
            <w:r>
              <w:t>Distribuição</w:t>
            </w:r>
          </w:p>
        </w:tc>
        <w:tc>
          <w:tcPr>
            <w:tcW w:type="dxa" w:w="1728"/>
          </w:tcPr>
          <w:p>
            <w:r>
              <w:t>Média</w:t>
            </w:r>
          </w:p>
        </w:tc>
        <w:tc>
          <w:tcPr>
            <w:tcW w:type="dxa" w:w="1728"/>
          </w:tcPr>
          <w:p>
            <w:r>
              <w:t>Desvio Padrão</w:t>
            </w:r>
          </w:p>
        </w:tc>
        <w:tc>
          <w:tcPr>
            <w:tcW w:type="dxa" w:w="1728"/>
          </w:tcPr>
          <w:p>
            <w:r>
              <w:t>C.O.V (%)</w:t>
            </w:r>
          </w:p>
        </w:tc>
      </w:tr>
      <w:tr>
        <w:tc>
          <w:tcPr>
            <w:tcW w:type="dxa" w:w="1728"/>
          </w:tcPr>
          <w:p>
            <w:r>
              <w:t>t</w:t>
            </w:r>
          </w:p>
        </w:tc>
        <w:tc>
          <w:tcPr>
            <w:tcW w:type="dxa" w:w="1728"/>
          </w:tcPr>
          <w:p>
            <w:r>
              <w:t>Normal</w:t>
            </w:r>
          </w:p>
        </w:tc>
        <w:tc>
          <w:tcPr>
            <w:tcW w:type="dxa" w:w="1728"/>
          </w:tcPr>
          <w:p>
            <w:r>
              <w:t>1.9000e+00</w:t>
            </w:r>
          </w:p>
        </w:tc>
        <w:tc>
          <w:tcPr>
            <w:tcW w:type="dxa" w:w="1728"/>
          </w:tcPr>
          <w:p>
            <w:r>
              <w:t>1.0000e-01</w:t>
            </w:r>
          </w:p>
        </w:tc>
        <w:tc>
          <w:tcPr>
            <w:tcW w:type="dxa" w:w="1728"/>
          </w:tcPr>
          <w:p>
            <w:r>
              <w:t>5.26</w:t>
            </w:r>
          </w:p>
        </w:tc>
      </w:tr>
      <w:tr>
        <w:tc>
          <w:tcPr>
            <w:tcW w:type="dxa" w:w="1728"/>
          </w:tcPr>
          <w:p>
            <w:r>
              <w:t>A</w:t>
            </w:r>
          </w:p>
        </w:tc>
        <w:tc>
          <w:tcPr>
            <w:tcW w:type="dxa" w:w="1728"/>
          </w:tcPr>
          <w:p>
            <w:r>
              <w:t>Lognormal</w:t>
            </w:r>
          </w:p>
        </w:tc>
        <w:tc>
          <w:tcPr>
            <w:tcW w:type="dxa" w:w="1728"/>
          </w:tcPr>
          <w:p>
            <w:r>
              <w:t>5.0000e-01</w:t>
            </w:r>
          </w:p>
        </w:tc>
        <w:tc>
          <w:tcPr>
            <w:tcW w:type="dxa" w:w="1728"/>
          </w:tcPr>
          <w:p>
            <w:r>
              <w:t>1.0000e-01</w:t>
            </w:r>
          </w:p>
        </w:tc>
        <w:tc>
          <w:tcPr>
            <w:tcW w:type="dxa" w:w="1728"/>
          </w:tcPr>
          <w:p>
            <w:r>
              <w:t>20.00</w:t>
            </w:r>
          </w:p>
        </w:tc>
      </w:tr>
      <w:tr>
        <w:tc>
          <w:tcPr>
            <w:tcW w:type="dxa" w:w="1728"/>
          </w:tcPr>
          <w:p>
            <w:r>
              <w:t>P</w:t>
            </w:r>
          </w:p>
        </w:tc>
        <w:tc>
          <w:tcPr>
            <w:tcW w:type="dxa" w:w="1728"/>
          </w:tcPr>
          <w:p>
            <w:r>
              <w:t>Normal</w:t>
            </w:r>
          </w:p>
        </w:tc>
        <w:tc>
          <w:tcPr>
            <w:tcW w:type="dxa" w:w="1728"/>
          </w:tcPr>
          <w:p>
            <w:r>
              <w:t>1.1000e+06</w:t>
            </w:r>
          </w:p>
        </w:tc>
        <w:tc>
          <w:tcPr>
            <w:tcW w:type="dxa" w:w="1728"/>
          </w:tcPr>
          <w:p>
            <w:r>
              <w:t>2.0000e+05</w:t>
            </w:r>
          </w:p>
        </w:tc>
        <w:tc>
          <w:tcPr>
            <w:tcW w:type="dxa" w:w="1728"/>
          </w:tcPr>
          <w:p>
            <w:r>
              <w:t>18.18</w:t>
            </w:r>
          </w:p>
        </w:tc>
      </w:tr>
    </w:tbl>
    <w:p>
      <w:pPr>
        <w:pStyle w:val="Heading1"/>
      </w:pPr>
      <w:r>
        <w:t>5. Validação do Framework</w:t>
      </w:r>
    </w:p>
    <w:p>
      <w:r>
        <w:t>Tabela 4: Sumário das calibrações de base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Check</w:t>
            </w:r>
          </w:p>
        </w:tc>
        <w:tc>
          <w:tcPr>
            <w:tcW w:type="dxa" w:w="4320"/>
          </w:tcPr>
          <w:p>
            <w:r>
              <w:t>Status</w:t>
            </w:r>
          </w:p>
        </w:tc>
      </w:tr>
      <w:tr>
        <w:tc>
          <w:tcPr>
            <w:tcW w:type="dxa" w:w="4320"/>
          </w:tcPr>
          <w:p>
            <w:r>
              <w:t>Patch Test</w:t>
            </w:r>
          </w:p>
        </w:tc>
        <w:tc>
          <w:tcPr>
            <w:tcW w:type="dxa" w:w="4320"/>
          </w:tcPr>
          <w:p>
            <w:r>
              <w:t>OK</w:t>
            </w:r>
          </w:p>
        </w:tc>
      </w:tr>
      <w:tr>
        <w:tc>
          <w:tcPr>
            <w:tcW w:type="dxa" w:w="4320"/>
          </w:tcPr>
          <w:p>
            <w:r>
              <w:t>Sol. Analítica</w:t>
            </w:r>
          </w:p>
        </w:tc>
        <w:tc>
          <w:tcPr>
            <w:tcW w:type="dxa" w:w="4320"/>
          </w:tcPr>
          <w:p>
            <w:r>
              <w:t>OK</w:t>
            </w:r>
          </w:p>
        </w:tc>
      </w:tr>
      <w:tr>
        <w:tc>
          <w:tcPr>
            <w:tcW w:type="dxa" w:w="4320"/>
          </w:tcPr>
          <w:p>
            <w:r>
              <w:t>Abaqus</w:t>
            </w:r>
          </w:p>
        </w:tc>
        <w:tc>
          <w:tcPr>
            <w:tcW w:type="dxa" w:w="4320"/>
          </w:tcPr>
          <w:p>
            <w:r>
              <w:t>OK</w:t>
            </w:r>
          </w:p>
        </w:tc>
      </w:tr>
      <w:tr>
        <w:tc>
          <w:tcPr>
            <w:tcW w:type="dxa" w:w="4320"/>
          </w:tcPr>
          <w:p>
            <w:r>
              <w:t>Hold-Out</w:t>
            </w:r>
          </w:p>
        </w:tc>
        <w:tc>
          <w:tcPr>
            <w:tcW w:type="dxa" w:w="4320"/>
          </w:tcPr>
          <w:p>
            <w:r>
              <w:t>OK</w:t>
            </w:r>
          </w:p>
        </w:tc>
      </w:tr>
      <w:tr>
        <w:tc>
          <w:tcPr>
            <w:tcW w:type="dxa" w:w="4320"/>
          </w:tcPr>
          <w:p>
            <w:r>
              <w:t>FORM vs MC</w:t>
            </w:r>
          </w:p>
        </w:tc>
        <w:tc>
          <w:tcPr>
            <w:tcW w:type="dxa" w:w="4320"/>
          </w:tcPr>
          <w:p>
            <w:r>
              <w:t>OK</w:t>
            </w:r>
          </w:p>
        </w:tc>
      </w:tr>
    </w:tbl>
    <w:p>
      <w:pPr>
        <w:pStyle w:val="Heading1"/>
      </w:pPr>
      <w:r>
        <w:t>14. Discussão Automática</w:t>
      </w:r>
    </w:p>
    <w:p>
      <w:r>
        <w:t xml:space="preserve">A Superfície de Resposta apresentou um ajuste quase perfeito com o conjunto amostral, garantindo alta fidelidade analítica. ALERTA: A estrutura apresenta alto risco de colapso probabilístico para o envelope de cargas. </w:t>
      </w:r>
    </w:p>
    <w:p>
      <w:pPr>
        <w:pStyle w:val="Heading1"/>
      </w:pPr>
      <w:r>
        <w:t>15. Principais Conclusões</w:t>
      </w:r>
    </w:p>
    <w:p>
      <w:pPr>
        <w:pStyle w:val="ListBullet"/>
      </w:pPr>
      <w:r>
        <w:t>A metodologia acoplada RSM-FORM demonstrou ser altamente eficiente.</w:t>
      </w:r>
    </w:p>
    <w:p>
      <w:pPr>
        <w:pStyle w:val="ListBullet"/>
      </w:pPr>
      <w:r>
        <w:t>A análise de flambagem captura corretamente os caminhos de bifurcação geométrica.</w:t>
      </w:r>
    </w:p>
    <w:p>
      <w:pPr>
        <w:pStyle w:val="ListBullet"/>
      </w:pPr>
      <w:r>
        <w:t>Recomenda-se realizar ensaios laboratoriais para aferir a amplitude real da imperfeição (A).</w:t>
      </w:r>
    </w:p>
    <w:p>
      <w:pPr>
        <w:pStyle w:val="Heading1"/>
      </w:pPr>
      <w:r>
        <w:t>16. Limitações e Trabalhos Futuros</w:t>
      </w:r>
    </w:p>
    <w:p>
      <w:r>
        <w:t>- Limitações: Análise puramente linear elástica; Assunção de pequenas imperfeições modais.</w:t>
      </w:r>
    </w:p>
    <w:p>
      <w:r>
        <w:t>- Trabalhos Futuros: Implementar métodos de Crisfield-Riks para arco-comprimento pós-flambagem; Habilitar Von-Mises J2 plasticidade na casca para interação elasto-plástica.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