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2447" w:rsidRPr="00E44F70" w:rsidRDefault="00000000">
      <w:pPr>
        <w:jc w:val="center"/>
        <w:rPr>
          <w:rFonts w:ascii="黑体" w:eastAsia="黑体" w:hAnsi="黑体" w:hint="eastAsia"/>
          <w:sz w:val="36"/>
          <w:szCs w:val="36"/>
        </w:rPr>
      </w:pPr>
      <w:r w:rsidRPr="00E44F70">
        <w:rPr>
          <w:rFonts w:ascii="黑体" w:eastAsia="黑体" w:hAnsi="黑体" w:hint="eastAsia"/>
          <w:sz w:val="36"/>
          <w:szCs w:val="36"/>
        </w:rPr>
        <w:t>减少煤炭相关风险敞口：中资银行路在何方</w:t>
      </w:r>
    </w:p>
    <w:p w:rsidR="00D72447" w:rsidRPr="00E44F70" w:rsidRDefault="00D72447">
      <w:pPr>
        <w:jc w:val="center"/>
        <w:rPr>
          <w:rFonts w:ascii="黑体" w:eastAsia="黑体" w:hAnsi="黑体" w:hint="eastAsia"/>
          <w:sz w:val="36"/>
          <w:szCs w:val="36"/>
        </w:rPr>
      </w:pPr>
    </w:p>
    <w:p w:rsidR="00D72447" w:rsidRPr="00E44F70" w:rsidRDefault="00000000">
      <w:pPr>
        <w:adjustRightInd w:val="0"/>
        <w:snapToGrid w:val="0"/>
        <w:ind w:firstLineChars="200" w:firstLine="602"/>
        <w:rPr>
          <w:rFonts w:ascii="楷体_GB2312" w:eastAsia="楷体_GB2312" w:hAnsi="宋体" w:hint="eastAsia"/>
          <w:sz w:val="30"/>
          <w:szCs w:val="30"/>
        </w:rPr>
      </w:pPr>
      <w:r w:rsidRPr="00E44F70">
        <w:rPr>
          <w:rFonts w:ascii="楷体_GB2312" w:eastAsia="楷体_GB2312" w:hAnsi="宋体" w:hint="eastAsia"/>
          <w:b/>
          <w:bCs/>
          <w:sz w:val="30"/>
          <w:szCs w:val="30"/>
        </w:rPr>
        <w:t>摘要：</w:t>
      </w:r>
      <w:r w:rsidRPr="00E44F70">
        <w:rPr>
          <w:rFonts w:ascii="楷体_GB2312" w:eastAsia="楷体_GB2312" w:hAnsi="宋体" w:hint="eastAsia"/>
          <w:sz w:val="30"/>
          <w:szCs w:val="30"/>
        </w:rPr>
        <w:t>2024年12月31日，世界资源研究所（World Resources Institute）发布工作论文《减少煤炭相关风险敞口：中资银行路在何方》</w:t>
      </w:r>
      <w:r w:rsidRPr="00E44F70">
        <w:rPr>
          <w:rStyle w:val="af5"/>
          <w:rFonts w:ascii="楷体_GB2312" w:eastAsia="楷体_GB2312" w:hAnsi="宋体" w:hint="eastAsia"/>
          <w:sz w:val="30"/>
          <w:szCs w:val="30"/>
        </w:rPr>
        <w:footnoteReference w:id="1"/>
      </w:r>
      <w:r w:rsidRPr="00E44F70">
        <w:rPr>
          <w:rFonts w:ascii="楷体_GB2312" w:eastAsia="楷体_GB2312" w:hAnsi="宋体" w:hint="eastAsia"/>
          <w:sz w:val="30"/>
          <w:szCs w:val="30"/>
        </w:rPr>
        <w:t>。文章指出：中资银行限制煤炭融资，但净零排放承诺还不够明确清晰，需要更全面的框架来减少并最终消除煤炭风险敞口。因此，文章</w:t>
      </w:r>
      <w:r w:rsidR="00386A1B">
        <w:rPr>
          <w:rFonts w:ascii="楷体_GB2312" w:eastAsia="楷体_GB2312" w:hAnsi="宋体" w:hint="eastAsia"/>
          <w:sz w:val="30"/>
          <w:szCs w:val="30"/>
        </w:rPr>
        <w:t>通过</w:t>
      </w:r>
      <w:r w:rsidRPr="00E44F70">
        <w:rPr>
          <w:rFonts w:ascii="楷体_GB2312" w:eastAsia="楷体_GB2312" w:hAnsi="宋体" w:hint="eastAsia"/>
          <w:sz w:val="30"/>
          <w:szCs w:val="30"/>
        </w:rPr>
        <w:t>梳理国际上减少煤炭相关经济活动融资（后简称煤炭融资）的先进经验，构建退出煤炭融资的三步行动框架。首先，银行机构需要确立四项制度安排，包括</w:t>
      </w:r>
      <w:r w:rsidR="00F11E9C" w:rsidRPr="00E44F70">
        <w:rPr>
          <w:rFonts w:ascii="楷体_GB2312" w:eastAsia="楷体_GB2312" w:hAnsi="宋体" w:hint="eastAsia"/>
          <w:sz w:val="30"/>
          <w:szCs w:val="30"/>
        </w:rPr>
        <w:t>顶</w:t>
      </w:r>
      <w:r w:rsidRPr="00E44F70">
        <w:rPr>
          <w:rFonts w:ascii="楷体_GB2312" w:eastAsia="楷体_GB2312" w:hAnsi="宋体" w:hint="eastAsia"/>
          <w:sz w:val="30"/>
          <w:szCs w:val="30"/>
        </w:rPr>
        <w:t>层承诺、</w:t>
      </w:r>
      <w:r w:rsidR="00F11E9C" w:rsidRPr="00E44F70">
        <w:rPr>
          <w:rFonts w:ascii="楷体_GB2312" w:eastAsia="楷体_GB2312" w:hAnsi="宋体" w:hint="eastAsia"/>
          <w:sz w:val="30"/>
          <w:szCs w:val="30"/>
        </w:rPr>
        <w:t>业务细分</w:t>
      </w:r>
      <w:r w:rsidRPr="00E44F70">
        <w:rPr>
          <w:rFonts w:ascii="楷体_GB2312" w:eastAsia="楷体_GB2312" w:hAnsi="宋体" w:hint="eastAsia"/>
          <w:sz w:val="30"/>
          <w:szCs w:val="30"/>
        </w:rPr>
        <w:t>、内部支持、外部沟通。其次，银行机构应依据紧迫性、相关性和可行性三原则安排退出煤炭融资的优先级并付诸实施。最后，银行机构需要制定评估标准并对退出进展开展检查。</w:t>
      </w:r>
    </w:p>
    <w:p w:rsidR="00D72447" w:rsidRPr="00E44F70" w:rsidRDefault="00D72447">
      <w:pPr>
        <w:adjustRightInd w:val="0"/>
        <w:snapToGrid w:val="0"/>
        <w:ind w:firstLineChars="200" w:firstLine="600"/>
        <w:rPr>
          <w:rFonts w:ascii="楷体_GB2312" w:eastAsia="楷体_GB2312" w:hAnsi="宋体" w:hint="eastAsia"/>
          <w:sz w:val="30"/>
          <w:szCs w:val="30"/>
        </w:rPr>
      </w:pPr>
    </w:p>
    <w:p w:rsidR="00D72447" w:rsidRPr="00E44F70" w:rsidRDefault="00000000">
      <w:pPr>
        <w:adjustRightInd w:val="0"/>
        <w:snapToGrid w:val="0"/>
        <w:spacing w:line="600" w:lineRule="exact"/>
        <w:ind w:firstLineChars="200" w:firstLine="600"/>
        <w:rPr>
          <w:rFonts w:ascii="黑体" w:eastAsia="黑体" w:hAnsi="黑体" w:hint="eastAsia"/>
          <w:sz w:val="30"/>
          <w:szCs w:val="30"/>
        </w:rPr>
      </w:pPr>
      <w:r w:rsidRPr="00E44F70">
        <w:rPr>
          <w:rFonts w:ascii="黑体" w:eastAsia="黑体" w:hAnsi="黑体" w:hint="eastAsia"/>
          <w:sz w:val="30"/>
          <w:szCs w:val="30"/>
        </w:rPr>
        <w:t>一、</w:t>
      </w:r>
      <w:r w:rsidR="00F11E9C" w:rsidRPr="00E44F70">
        <w:rPr>
          <w:rFonts w:ascii="黑体" w:eastAsia="黑体" w:hAnsi="黑体" w:hint="eastAsia"/>
          <w:sz w:val="30"/>
          <w:szCs w:val="30"/>
        </w:rPr>
        <w:t>金融机构</w:t>
      </w:r>
      <w:r w:rsidRPr="00E44F70">
        <w:rPr>
          <w:rFonts w:ascii="黑体" w:eastAsia="黑体" w:hAnsi="黑体" w:hint="eastAsia"/>
          <w:sz w:val="30"/>
          <w:szCs w:val="30"/>
        </w:rPr>
        <w:t>减少煤炭融资势在必行</w:t>
      </w: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为</w:t>
      </w:r>
      <w:r w:rsidR="00F11E9C" w:rsidRPr="00E44F70">
        <w:rPr>
          <w:rFonts w:ascii="仿宋_GB2312" w:eastAsia="仿宋_GB2312" w:hAnsi="宋体" w:hint="eastAsia"/>
          <w:sz w:val="30"/>
          <w:szCs w:val="30"/>
        </w:rPr>
        <w:t>实现</w:t>
      </w:r>
      <w:r w:rsidRPr="00E44F70">
        <w:rPr>
          <w:rFonts w:ascii="仿宋_GB2312" w:eastAsia="仿宋_GB2312" w:hAnsi="宋体" w:hint="eastAsia"/>
          <w:sz w:val="30"/>
          <w:szCs w:val="30"/>
        </w:rPr>
        <w:t>《巴黎协定》1.5℃温控目标，国际能源署（IEA）要求全球煤电占比从2022年的36%降至2030年13%、2040年完全淘汰。中国作为煤炭融资主力，需加速落实“30·60”目标，将煤电占比从50%降至2050年10%以下。</w:t>
      </w:r>
      <w:r w:rsidR="00F11E9C" w:rsidRPr="00E44F70">
        <w:rPr>
          <w:rFonts w:ascii="仿宋_GB2312" w:eastAsia="仿宋_GB2312" w:hAnsi="宋体" w:hint="eastAsia"/>
          <w:sz w:val="30"/>
          <w:szCs w:val="30"/>
        </w:rPr>
        <w:t>2015-2022年全球煤炭行业60%资金依赖债务融资，其中发展中国家高达70%。金融机构</w:t>
      </w:r>
      <w:r w:rsidRPr="00E44F70">
        <w:rPr>
          <w:rFonts w:ascii="仿宋_GB2312" w:eastAsia="仿宋_GB2312" w:hAnsi="宋体" w:hint="eastAsia"/>
          <w:sz w:val="30"/>
          <w:szCs w:val="30"/>
        </w:rPr>
        <w:t>减少煤炭融资不仅能规避环境风险，还可创造转型经济价值，如南非能源转型计划可催生200亿美元投资需求。</w:t>
      </w:r>
    </w:p>
    <w:p w:rsidR="00D72447" w:rsidRPr="00E44F70" w:rsidRDefault="00000000">
      <w:pPr>
        <w:adjustRightInd w:val="0"/>
        <w:snapToGrid w:val="0"/>
        <w:spacing w:line="600" w:lineRule="exact"/>
        <w:ind w:firstLineChars="200" w:firstLine="602"/>
        <w:rPr>
          <w:rFonts w:ascii="仿宋_GB2312" w:eastAsia="仿宋_GB2312" w:hAnsi="宋体" w:hint="eastAsia"/>
          <w:sz w:val="30"/>
          <w:szCs w:val="30"/>
        </w:rPr>
      </w:pPr>
      <w:r w:rsidRPr="00E44F70">
        <w:rPr>
          <w:rFonts w:ascii="仿宋_GB2312" w:eastAsia="仿宋_GB2312" w:hAnsi="宋体" w:hint="eastAsia"/>
          <w:b/>
          <w:bCs/>
          <w:sz w:val="30"/>
          <w:szCs w:val="30"/>
        </w:rPr>
        <w:t>实践方面，欧美机构率先行动，亚洲因煤炭消费占比高且贸易活跃，政策透明度和执行力度相对滞后。</w:t>
      </w:r>
      <w:r w:rsidRPr="00E44F70">
        <w:rPr>
          <w:rFonts w:ascii="仿宋_GB2312" w:eastAsia="仿宋_GB2312" w:hAnsi="宋体" w:hint="eastAsia"/>
          <w:sz w:val="30"/>
          <w:szCs w:val="30"/>
        </w:rPr>
        <w:t>全球前100家银行中70%已停止</w:t>
      </w:r>
      <w:bookmarkStart w:id="0" w:name="_Hlk189730254"/>
      <w:r w:rsidRPr="00E44F70">
        <w:rPr>
          <w:rFonts w:ascii="仿宋_GB2312" w:eastAsia="仿宋_GB2312" w:hAnsi="宋体" w:hint="eastAsia"/>
          <w:sz w:val="30"/>
          <w:szCs w:val="30"/>
        </w:rPr>
        <w:t>新增煤炭融资</w:t>
      </w:r>
      <w:bookmarkEnd w:id="0"/>
      <w:r w:rsidRPr="00E44F70">
        <w:rPr>
          <w:rFonts w:ascii="仿宋_GB2312" w:eastAsia="仿宋_GB2312" w:hAnsi="宋体" w:hint="eastAsia"/>
          <w:sz w:val="30"/>
          <w:szCs w:val="30"/>
        </w:rPr>
        <w:t>，10%将</w:t>
      </w:r>
      <w:r w:rsidR="00F11E9C" w:rsidRPr="00E44F70">
        <w:rPr>
          <w:rFonts w:ascii="仿宋_GB2312" w:eastAsia="仿宋_GB2312" w:hAnsi="宋体" w:hint="eastAsia"/>
          <w:sz w:val="30"/>
          <w:szCs w:val="30"/>
        </w:rPr>
        <w:t>煤炭融资</w:t>
      </w:r>
      <w:r w:rsidRPr="00E44F70">
        <w:rPr>
          <w:rFonts w:ascii="仿宋_GB2312" w:eastAsia="仿宋_GB2312" w:hAnsi="宋体" w:hint="eastAsia"/>
          <w:sz w:val="30"/>
          <w:szCs w:val="30"/>
        </w:rPr>
        <w:t>限制扩展至基础设施领</w:t>
      </w:r>
      <w:r w:rsidRPr="00E44F70">
        <w:rPr>
          <w:rFonts w:ascii="仿宋_GB2312" w:eastAsia="仿宋_GB2312" w:hAnsi="宋体" w:hint="eastAsia"/>
          <w:sz w:val="30"/>
          <w:szCs w:val="30"/>
        </w:rPr>
        <w:lastRenderedPageBreak/>
        <w:t>域。科学碳目标倡议（SBTi）等组织将退出煤炭行业纳入净零评估体系；欧洲投资银行已</w:t>
      </w:r>
      <w:r w:rsidR="00F11E9C" w:rsidRPr="00E44F70">
        <w:rPr>
          <w:rFonts w:ascii="仿宋_GB2312" w:eastAsia="仿宋_GB2312" w:hAnsi="宋体" w:hint="eastAsia"/>
          <w:sz w:val="30"/>
          <w:szCs w:val="30"/>
        </w:rPr>
        <w:t>将限制</w:t>
      </w:r>
      <w:r w:rsidRPr="00E44F70">
        <w:rPr>
          <w:rFonts w:ascii="仿宋_GB2312" w:eastAsia="仿宋_GB2312" w:hAnsi="宋体" w:hint="eastAsia"/>
          <w:sz w:val="30"/>
          <w:szCs w:val="30"/>
        </w:rPr>
        <w:t>延伸至油气领域；亚洲开发银行建立混合融资机制支持煤电资产提前退出；南非、印尼通过国际合作制定转型计划，涵盖电厂退役与清洁能源投资，但资金缺口仍需多渠道填补。</w:t>
      </w:r>
    </w:p>
    <w:p w:rsidR="00D72447" w:rsidRPr="00E44F70" w:rsidRDefault="00000000">
      <w:pPr>
        <w:adjustRightInd w:val="0"/>
        <w:snapToGrid w:val="0"/>
        <w:spacing w:line="600" w:lineRule="exact"/>
        <w:ind w:firstLineChars="200" w:firstLine="602"/>
        <w:rPr>
          <w:rFonts w:ascii="仿宋_GB2312" w:eastAsia="仿宋_GB2312" w:hAnsi="宋体" w:hint="eastAsia"/>
          <w:sz w:val="30"/>
          <w:szCs w:val="30"/>
        </w:rPr>
      </w:pPr>
      <w:r w:rsidRPr="00E44F70">
        <w:rPr>
          <w:rFonts w:ascii="仿宋_GB2312" w:eastAsia="仿宋_GB2312" w:hAnsi="宋体" w:hint="eastAsia"/>
          <w:b/>
          <w:bCs/>
          <w:sz w:val="30"/>
          <w:szCs w:val="30"/>
        </w:rPr>
        <w:t>转型路径方面，一是完善退出机制</w:t>
      </w:r>
      <w:r w:rsidRPr="00E44F70">
        <w:rPr>
          <w:rFonts w:ascii="仿宋_GB2312" w:eastAsia="仿宋_GB2312" w:hAnsi="宋体" w:hint="eastAsia"/>
          <w:sz w:val="30"/>
          <w:szCs w:val="30"/>
        </w:rPr>
        <w:t>，停止新增项目贷款，加强全产业链管理，20%头部银行已通过尽职调查、淘汰期限设定等方式强化客户管理；</w:t>
      </w:r>
      <w:r w:rsidRPr="00E44F70">
        <w:rPr>
          <w:rFonts w:ascii="仿宋_GB2312" w:eastAsia="仿宋_GB2312" w:hAnsi="宋体" w:hint="eastAsia"/>
          <w:b/>
          <w:bCs/>
          <w:sz w:val="30"/>
          <w:szCs w:val="30"/>
        </w:rPr>
        <w:t>二是填补资金缺口，</w:t>
      </w:r>
      <w:r w:rsidR="00F11E9C" w:rsidRPr="00E44F70">
        <w:rPr>
          <w:rFonts w:ascii="仿宋_GB2312" w:eastAsia="仿宋_GB2312" w:hAnsi="宋体" w:hint="eastAsia"/>
          <w:sz w:val="30"/>
          <w:szCs w:val="30"/>
        </w:rPr>
        <w:t>建立</w:t>
      </w:r>
      <w:r w:rsidRPr="00E44F70">
        <w:rPr>
          <w:rFonts w:ascii="仿宋_GB2312" w:eastAsia="仿宋_GB2312" w:hAnsi="宋体" w:hint="eastAsia"/>
          <w:sz w:val="30"/>
          <w:szCs w:val="30"/>
        </w:rPr>
        <w:t>表外业务监管框架，将债券承销、资管计划等间接融资纳入风险管理，防范中介机构带来的敞口遗漏；</w:t>
      </w:r>
      <w:r w:rsidRPr="00E44F70">
        <w:rPr>
          <w:rFonts w:ascii="仿宋_GB2312" w:eastAsia="仿宋_GB2312" w:hAnsi="宋体" w:hint="eastAsia"/>
          <w:b/>
          <w:bCs/>
          <w:sz w:val="30"/>
          <w:szCs w:val="30"/>
        </w:rPr>
        <w:t>三是推动公正转型</w:t>
      </w:r>
      <w:r w:rsidRPr="00E44F70">
        <w:rPr>
          <w:rFonts w:ascii="仿宋_GB2312" w:eastAsia="仿宋_GB2312" w:hAnsi="宋体" w:hint="eastAsia"/>
          <w:sz w:val="30"/>
          <w:szCs w:val="30"/>
        </w:rPr>
        <w:t>，创新金融产品支持煤企技术改造，如碳捕集技术应用和可再生能源投资，实现风险管控与业务拓展双重目标。</w:t>
      </w:r>
    </w:p>
    <w:p w:rsidR="00D72447" w:rsidRPr="00E44F70" w:rsidRDefault="00000000">
      <w:pPr>
        <w:adjustRightInd w:val="0"/>
        <w:snapToGrid w:val="0"/>
        <w:spacing w:line="600" w:lineRule="exact"/>
        <w:ind w:firstLineChars="200" w:firstLine="600"/>
        <w:rPr>
          <w:rFonts w:ascii="黑体" w:eastAsia="黑体" w:hAnsi="黑体" w:hint="eastAsia"/>
          <w:sz w:val="30"/>
          <w:szCs w:val="30"/>
        </w:rPr>
      </w:pPr>
      <w:r w:rsidRPr="00E44F70">
        <w:rPr>
          <w:rFonts w:ascii="黑体" w:eastAsia="黑体" w:hAnsi="黑体" w:hint="eastAsia"/>
          <w:sz w:val="30"/>
          <w:szCs w:val="30"/>
        </w:rPr>
        <w:t>二、煤炭融资</w:t>
      </w:r>
      <w:r w:rsidR="00F11E9C" w:rsidRPr="00E44F70">
        <w:rPr>
          <w:rFonts w:ascii="黑体" w:eastAsia="黑体" w:hAnsi="黑体" w:hint="eastAsia"/>
          <w:sz w:val="30"/>
          <w:szCs w:val="30"/>
        </w:rPr>
        <w:t>退出</w:t>
      </w:r>
      <w:r w:rsidRPr="00E44F70">
        <w:rPr>
          <w:rFonts w:ascii="黑体" w:eastAsia="黑体" w:hAnsi="黑体" w:hint="eastAsia"/>
          <w:sz w:val="30"/>
          <w:szCs w:val="30"/>
        </w:rPr>
        <w:t>框架</w:t>
      </w: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（一）遵循“计划审查”“决定”和“实施”三个步骤进行迭代。</w:t>
      </w: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首先制定计划或审查清单，帮助银行检查或审查其减少煤炭融资的机构设置；随后根据活动优先顺序表评估政策和行为变化，确定新的优先事项；最后实施并检查进展情况。银行要时刻审视行动的有效性，及时更新策略</w:t>
      </w:r>
      <w:r w:rsidR="00F11E9C" w:rsidRPr="00E44F70">
        <w:rPr>
          <w:rFonts w:ascii="仿宋_GB2312" w:eastAsia="仿宋_GB2312" w:hAnsi="宋体" w:hint="eastAsia"/>
          <w:sz w:val="30"/>
          <w:szCs w:val="30"/>
        </w:rPr>
        <w:t>、</w:t>
      </w:r>
      <w:r w:rsidRPr="00E44F70">
        <w:rPr>
          <w:rFonts w:ascii="仿宋_GB2312" w:eastAsia="仿宋_GB2312" w:hAnsi="宋体" w:hint="eastAsia"/>
          <w:sz w:val="30"/>
          <w:szCs w:val="30"/>
        </w:rPr>
        <w:t>清单和优先事项。</w:t>
      </w:r>
    </w:p>
    <w:p w:rsidR="00081678" w:rsidRDefault="00081678">
      <w:pPr>
        <w:jc w:val="center"/>
        <w:rPr>
          <w:rFonts w:ascii="仿宋_GB2312" w:eastAsia="仿宋_GB2312" w:hAnsi="宋体" w:hint="eastAsia"/>
          <w:b/>
          <w:bCs/>
          <w:sz w:val="24"/>
          <w:szCs w:val="24"/>
        </w:rPr>
      </w:pPr>
    </w:p>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图1 煤炭退出的指标功能</w:t>
      </w:r>
    </w:p>
    <w:p w:rsidR="00D72447" w:rsidRPr="00E44F70" w:rsidRDefault="00081678">
      <w:pPr>
        <w:jc w:val="center"/>
        <w:rPr>
          <w:rFonts w:ascii="宋体" w:eastAsia="宋体" w:hAnsi="宋体" w:hint="eastAsia"/>
        </w:rPr>
      </w:pPr>
      <w:r>
        <w:rPr>
          <w:noProof/>
        </w:rPr>
        <w:lastRenderedPageBreak/>
        <w:drawing>
          <wp:inline distT="0" distB="0" distL="0" distR="0">
            <wp:extent cx="5274310" cy="2761615"/>
            <wp:effectExtent l="0" t="0" r="2540" b="635"/>
            <wp:docPr id="349898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61615"/>
                    </a:xfrm>
                    <a:prstGeom prst="rect">
                      <a:avLst/>
                    </a:prstGeom>
                    <a:noFill/>
                    <a:ln>
                      <a:noFill/>
                    </a:ln>
                  </pic:spPr>
                </pic:pic>
              </a:graphicData>
            </a:graphic>
          </wp:inline>
        </w:drawing>
      </w:r>
    </w:p>
    <w:p w:rsidR="00D72447" w:rsidRPr="00E44F70" w:rsidRDefault="00D72447">
      <w:pPr>
        <w:jc w:val="center"/>
        <w:rPr>
          <w:rFonts w:ascii="宋体" w:eastAsia="宋体" w:hAnsi="宋体" w:hint="eastAsia"/>
        </w:rPr>
      </w:pP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（二）煤炭融资活动的分类。</w:t>
      </w: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一是根据与煤炭的功能关系，煤炭活动可</w:t>
      </w:r>
      <w:r w:rsidRPr="00E44F70">
        <w:rPr>
          <w:rFonts w:ascii="仿宋_GB2312" w:eastAsia="仿宋_GB2312" w:hAnsi="宋体" w:hint="eastAsia"/>
          <w:b/>
          <w:bCs/>
          <w:sz w:val="30"/>
          <w:szCs w:val="30"/>
        </w:rPr>
        <w:t>分为主要活动和次要活动</w:t>
      </w:r>
      <w:r w:rsidRPr="00E44F70">
        <w:rPr>
          <w:rFonts w:ascii="仿宋_GB2312" w:eastAsia="仿宋_GB2312" w:hAnsi="宋体" w:hint="eastAsia"/>
          <w:sz w:val="30"/>
          <w:szCs w:val="30"/>
        </w:rPr>
        <w:t>。主要活动指煤炭作为可销售产品、燃料和原材料，包括上游煤炭开采、加工，中游发电、供暖和工业生产，下游煤电等；次要活动指提供煤炭专</w:t>
      </w:r>
      <w:r w:rsidR="00F11E9C" w:rsidRPr="00E44F70">
        <w:rPr>
          <w:rFonts w:ascii="仿宋_GB2312" w:eastAsia="仿宋_GB2312" w:hAnsi="宋体" w:hint="eastAsia"/>
          <w:sz w:val="30"/>
          <w:szCs w:val="30"/>
        </w:rPr>
        <w:t>业</w:t>
      </w:r>
      <w:r w:rsidRPr="00E44F70">
        <w:rPr>
          <w:rFonts w:ascii="仿宋_GB2312" w:eastAsia="仿宋_GB2312" w:hAnsi="宋体" w:hint="eastAsia"/>
          <w:sz w:val="30"/>
          <w:szCs w:val="30"/>
        </w:rPr>
        <w:t>服务，促进煤炭使用和生产的活动，包括输电配电、煤炭专用设备和基础设施、煤炭运输和储存、煤炭销售和采购等。</w:t>
      </w: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二是</w:t>
      </w:r>
      <w:r w:rsidR="00F11E9C" w:rsidRPr="00E44F70">
        <w:rPr>
          <w:rFonts w:ascii="仿宋_GB2312" w:eastAsia="仿宋_GB2312" w:hAnsi="宋体" w:hint="eastAsia"/>
          <w:sz w:val="30"/>
          <w:szCs w:val="30"/>
        </w:rPr>
        <w:t>根据银行对金融工具的控制方式和影响程度，煤炭融资关系可分为</w:t>
      </w:r>
      <w:r w:rsidRPr="00E44F70">
        <w:rPr>
          <w:rFonts w:ascii="仿宋_GB2312" w:eastAsia="仿宋_GB2312" w:hAnsi="宋体" w:hint="eastAsia"/>
          <w:b/>
          <w:bCs/>
          <w:sz w:val="30"/>
          <w:szCs w:val="30"/>
        </w:rPr>
        <w:t>直接关系</w:t>
      </w:r>
      <w:r w:rsidR="00F11E9C" w:rsidRPr="00E44F70">
        <w:rPr>
          <w:rFonts w:ascii="仿宋_GB2312" w:eastAsia="仿宋_GB2312" w:hAnsi="宋体" w:hint="eastAsia"/>
          <w:b/>
          <w:bCs/>
          <w:sz w:val="30"/>
          <w:szCs w:val="30"/>
        </w:rPr>
        <w:t>和间接关系</w:t>
      </w:r>
      <w:r w:rsidR="00F11E9C" w:rsidRPr="00E44F70">
        <w:rPr>
          <w:rFonts w:ascii="仿宋_GB2312" w:eastAsia="仿宋_GB2312" w:hAnsi="宋体" w:hint="eastAsia"/>
          <w:sz w:val="30"/>
          <w:szCs w:val="30"/>
        </w:rPr>
        <w:t>。</w:t>
      </w:r>
      <w:r w:rsidRPr="00E44F70">
        <w:rPr>
          <w:rFonts w:ascii="仿宋_GB2312" w:eastAsia="仿宋_GB2312" w:hAnsi="宋体" w:hint="eastAsia"/>
          <w:sz w:val="30"/>
          <w:szCs w:val="30"/>
        </w:rPr>
        <w:t>直接关系指银行直接控制自己的融资，可以采取主动行动，包括贷款、抵押资产、发行债券、转借、保险、担保、承保等等；间接关系中银行可以施加影响，如股权投资、金融投资、提供建议或参与决策、制定契约、与利益相关者沟通等。</w:t>
      </w: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（三）从项目、公司和投资组合三个层面设置指标。</w:t>
      </w: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1.项目层面。</w:t>
      </w:r>
    </w:p>
    <w:p w:rsidR="00D72447" w:rsidRPr="00E44F70" w:rsidRDefault="00000000">
      <w:pPr>
        <w:adjustRightInd w:val="0"/>
        <w:snapToGrid w:val="0"/>
        <w:spacing w:line="600" w:lineRule="exact"/>
        <w:ind w:firstLineChars="200" w:firstLine="602"/>
        <w:rPr>
          <w:rFonts w:ascii="仿宋_GB2312" w:eastAsia="仿宋_GB2312" w:hAnsi="宋体" w:hint="eastAsia"/>
          <w:sz w:val="30"/>
          <w:szCs w:val="30"/>
        </w:rPr>
      </w:pPr>
      <w:r w:rsidRPr="00E44F70">
        <w:rPr>
          <w:rFonts w:ascii="仿宋_GB2312" w:eastAsia="仿宋_GB2312" w:hAnsi="宋体" w:hint="eastAsia"/>
          <w:b/>
          <w:bCs/>
          <w:sz w:val="30"/>
          <w:szCs w:val="30"/>
        </w:rPr>
        <w:lastRenderedPageBreak/>
        <w:t>一方面要排除</w:t>
      </w:r>
      <w:r w:rsidR="00F11E9C" w:rsidRPr="00E44F70">
        <w:rPr>
          <w:rFonts w:ascii="仿宋_GB2312" w:eastAsia="仿宋_GB2312" w:hAnsi="宋体" w:hint="eastAsia"/>
          <w:b/>
          <w:bCs/>
          <w:sz w:val="30"/>
          <w:szCs w:val="30"/>
        </w:rPr>
        <w:t>不合格</w:t>
      </w:r>
      <w:r w:rsidRPr="00E44F70">
        <w:rPr>
          <w:rFonts w:ascii="仿宋_GB2312" w:eastAsia="仿宋_GB2312" w:hAnsi="宋体" w:hint="eastAsia"/>
          <w:b/>
          <w:bCs/>
          <w:sz w:val="30"/>
          <w:szCs w:val="30"/>
        </w:rPr>
        <w:t>的煤炭项目。</w:t>
      </w:r>
      <w:r w:rsidRPr="00E44F70">
        <w:rPr>
          <w:rFonts w:ascii="仿宋_GB2312" w:eastAsia="仿宋_GB2312" w:hAnsi="宋体" w:hint="eastAsia"/>
          <w:sz w:val="30"/>
          <w:szCs w:val="30"/>
        </w:rPr>
        <w:t>银行需要明确详细的项目级指标（见表1），但其清晰度和细化程度仍取决于银行决定的煤炭退出范围。注意需谨慎选择分阶段退出的方式，避免滥用。</w:t>
      </w:r>
    </w:p>
    <w:p w:rsidR="00D72447" w:rsidRPr="00E44F70" w:rsidRDefault="00D72447">
      <w:pPr>
        <w:jc w:val="center"/>
        <w:rPr>
          <w:rFonts w:ascii="仿宋_GB2312" w:eastAsia="仿宋_GB2312" w:hAnsi="宋体" w:hint="eastAsia"/>
          <w:b/>
          <w:bCs/>
          <w:sz w:val="24"/>
          <w:szCs w:val="24"/>
        </w:rPr>
      </w:pPr>
    </w:p>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表1 排除不合格项目的指标</w:t>
      </w:r>
    </w:p>
    <w:tbl>
      <w:tblPr>
        <w:tblStyle w:val="af2"/>
        <w:tblW w:w="8075" w:type="dxa"/>
        <w:jc w:val="center"/>
        <w:tblLook w:val="04A0" w:firstRow="1" w:lastRow="0" w:firstColumn="1" w:lastColumn="0" w:noHBand="0" w:noVBand="1"/>
      </w:tblPr>
      <w:tblGrid>
        <w:gridCol w:w="1838"/>
        <w:gridCol w:w="6237"/>
      </w:tblGrid>
      <w:tr w:rsidR="00D72447" w:rsidRPr="00E44F70">
        <w:trPr>
          <w:jc w:val="center"/>
        </w:trPr>
        <w:tc>
          <w:tcPr>
            <w:tcW w:w="1838"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指标</w:t>
            </w:r>
          </w:p>
        </w:tc>
        <w:tc>
          <w:tcPr>
            <w:tcW w:w="6237"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说明</w:t>
            </w:r>
          </w:p>
        </w:tc>
      </w:tr>
      <w:tr w:rsidR="00D72447" w:rsidRPr="00E44F70">
        <w:trPr>
          <w:jc w:val="center"/>
        </w:trPr>
        <w:tc>
          <w:tcPr>
            <w:tcW w:w="1838"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项目类型</w:t>
            </w:r>
          </w:p>
        </w:tc>
        <w:tc>
          <w:tcPr>
            <w:tcW w:w="6237"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说明撤资是否适用于新项目（绿地）、扩建项目（棕地）、延长使用期（棕地）或现有项目（棕地）的再融资</w:t>
            </w:r>
          </w:p>
        </w:tc>
      </w:tr>
      <w:tr w:rsidR="00D72447" w:rsidRPr="00E44F70">
        <w:trPr>
          <w:jc w:val="center"/>
        </w:trPr>
        <w:tc>
          <w:tcPr>
            <w:tcW w:w="1838"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截止日期</w:t>
            </w:r>
          </w:p>
        </w:tc>
        <w:tc>
          <w:tcPr>
            <w:tcW w:w="6237"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设置一个截止日期来定义新项目和扩展项目，可以是财务结算日期、合同承诺日期或其他特定日期</w:t>
            </w:r>
          </w:p>
        </w:tc>
      </w:tr>
      <w:tr w:rsidR="00D72447" w:rsidRPr="00E44F70">
        <w:trPr>
          <w:jc w:val="center"/>
        </w:trPr>
        <w:tc>
          <w:tcPr>
            <w:tcW w:w="1838"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项目功能</w:t>
            </w:r>
          </w:p>
        </w:tc>
        <w:tc>
          <w:tcPr>
            <w:tcW w:w="6237"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明确指出撤资是否适用于具有专门功能的项目，如自用资产或专门为煤电建设的输电线路</w:t>
            </w:r>
          </w:p>
        </w:tc>
      </w:tr>
      <w:tr w:rsidR="00D72447" w:rsidRPr="00E44F70">
        <w:trPr>
          <w:jc w:val="center"/>
        </w:trPr>
        <w:tc>
          <w:tcPr>
            <w:tcW w:w="1838"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项目组成部分</w:t>
            </w:r>
          </w:p>
        </w:tc>
        <w:tc>
          <w:tcPr>
            <w:tcW w:w="6237"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说明撤资是否适用于包含多个组成部分的项目，如涉及煤炭枢纽的港口或包含多种煤炭产品的生产线</w:t>
            </w:r>
          </w:p>
        </w:tc>
      </w:tr>
      <w:tr w:rsidR="00D72447" w:rsidRPr="00E44F70">
        <w:trPr>
          <w:jc w:val="center"/>
        </w:trPr>
        <w:tc>
          <w:tcPr>
            <w:tcW w:w="1838"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项目业绩</w:t>
            </w:r>
          </w:p>
        </w:tc>
        <w:tc>
          <w:tcPr>
            <w:tcW w:w="6237"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明确规定不允许融资的ESG绩效</w:t>
            </w:r>
          </w:p>
        </w:tc>
      </w:tr>
      <w:tr w:rsidR="00D72447" w:rsidRPr="00E44F70">
        <w:trPr>
          <w:jc w:val="center"/>
        </w:trPr>
        <w:tc>
          <w:tcPr>
            <w:tcW w:w="1838"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分阶段退出</w:t>
            </w:r>
          </w:p>
        </w:tc>
        <w:tc>
          <w:tcPr>
            <w:tcW w:w="6237"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说明豁免条件（如有）时应注意避免滥用</w:t>
            </w:r>
          </w:p>
        </w:tc>
      </w:tr>
      <w:tr w:rsidR="00D72447" w:rsidRPr="00E44F70">
        <w:trPr>
          <w:jc w:val="center"/>
        </w:trPr>
        <w:tc>
          <w:tcPr>
            <w:tcW w:w="1838" w:type="dxa"/>
            <w:vMerge/>
            <w:vAlign w:val="center"/>
          </w:tcPr>
          <w:p w:rsidR="00D72447" w:rsidRPr="00E44F70" w:rsidRDefault="00D72447">
            <w:pPr>
              <w:jc w:val="center"/>
              <w:rPr>
                <w:rFonts w:ascii="仿宋_GB2312" w:eastAsia="仿宋_GB2312" w:hAnsi="宋体" w:hint="eastAsia"/>
                <w:sz w:val="24"/>
                <w:szCs w:val="24"/>
              </w:rPr>
            </w:pPr>
          </w:p>
        </w:tc>
        <w:tc>
          <w:tcPr>
            <w:tcW w:w="6237"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对于与煤炭有潜在关系</w:t>
            </w:r>
            <w:r w:rsidR="00F11E9C" w:rsidRPr="00E44F70">
              <w:rPr>
                <w:rFonts w:ascii="仿宋_GB2312" w:eastAsia="仿宋_GB2312" w:hAnsi="宋体" w:hint="eastAsia"/>
                <w:sz w:val="24"/>
                <w:szCs w:val="24"/>
              </w:rPr>
              <w:t>但不适用直接排除条件的</w:t>
            </w:r>
            <w:r w:rsidRPr="00E44F70">
              <w:rPr>
                <w:rFonts w:ascii="仿宋_GB2312" w:eastAsia="仿宋_GB2312" w:hAnsi="宋体" w:hint="eastAsia"/>
                <w:sz w:val="24"/>
                <w:szCs w:val="24"/>
              </w:rPr>
              <w:t>活动，在融资前仍需进行额外评估</w:t>
            </w:r>
          </w:p>
        </w:tc>
      </w:tr>
    </w:tbl>
    <w:p w:rsidR="00D72447" w:rsidRPr="00E44F70" w:rsidRDefault="00D72447">
      <w:pPr>
        <w:jc w:val="center"/>
        <w:rPr>
          <w:rFonts w:ascii="仿宋_GB2312" w:eastAsia="仿宋_GB2312" w:hAnsi="宋体" w:hint="eastAsia"/>
          <w:b/>
          <w:bCs/>
          <w:sz w:val="24"/>
          <w:szCs w:val="24"/>
        </w:rPr>
      </w:pPr>
    </w:p>
    <w:p w:rsidR="00D72447" w:rsidRPr="00E44F70" w:rsidRDefault="00000000">
      <w:pPr>
        <w:adjustRightInd w:val="0"/>
        <w:snapToGrid w:val="0"/>
        <w:spacing w:line="600" w:lineRule="exact"/>
        <w:ind w:firstLineChars="200" w:firstLine="602"/>
        <w:rPr>
          <w:rFonts w:ascii="仿宋_GB2312" w:eastAsia="仿宋_GB2312" w:hAnsi="宋体" w:hint="eastAsia"/>
          <w:sz w:val="30"/>
          <w:szCs w:val="30"/>
        </w:rPr>
      </w:pPr>
      <w:r w:rsidRPr="00E44F70">
        <w:rPr>
          <w:rFonts w:ascii="仿宋_GB2312" w:eastAsia="仿宋_GB2312" w:hAnsi="宋体" w:hint="eastAsia"/>
          <w:b/>
          <w:bCs/>
          <w:sz w:val="30"/>
          <w:szCs w:val="30"/>
        </w:rPr>
        <w:t>另一方面要充分发挥主动性支持转型项目。</w:t>
      </w:r>
      <w:r w:rsidRPr="00E44F70">
        <w:rPr>
          <w:rFonts w:ascii="仿宋_GB2312" w:eastAsia="仿宋_GB2312" w:hAnsi="宋体" w:hint="eastAsia"/>
          <w:sz w:val="30"/>
          <w:szCs w:val="30"/>
        </w:rPr>
        <w:t>可以通过建立专门的转型融资候选项目清单，对煤炭转型方案的可行性和可信度进行评估（见表2），主动挖掘煤炭转型的可行性。</w:t>
      </w:r>
    </w:p>
    <w:p w:rsidR="00D72447" w:rsidRPr="00E44F70" w:rsidRDefault="00D72447">
      <w:pPr>
        <w:jc w:val="center"/>
        <w:rPr>
          <w:rFonts w:ascii="仿宋_GB2312" w:eastAsia="仿宋_GB2312" w:hAnsi="宋体" w:hint="eastAsia"/>
          <w:b/>
          <w:bCs/>
          <w:sz w:val="24"/>
          <w:szCs w:val="24"/>
        </w:rPr>
      </w:pPr>
    </w:p>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表2 转型项目的筛选方法</w:t>
      </w:r>
    </w:p>
    <w:tbl>
      <w:tblPr>
        <w:tblStyle w:val="af2"/>
        <w:tblW w:w="8359" w:type="dxa"/>
        <w:jc w:val="center"/>
        <w:tblLook w:val="04A0" w:firstRow="1" w:lastRow="0" w:firstColumn="1" w:lastColumn="0" w:noHBand="0" w:noVBand="1"/>
      </w:tblPr>
      <w:tblGrid>
        <w:gridCol w:w="1271"/>
        <w:gridCol w:w="7088"/>
      </w:tblGrid>
      <w:tr w:rsidR="00D72447" w:rsidRPr="00E44F70">
        <w:trPr>
          <w:jc w:val="center"/>
        </w:trPr>
        <w:tc>
          <w:tcPr>
            <w:tcW w:w="1271"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方法</w:t>
            </w:r>
          </w:p>
        </w:tc>
        <w:tc>
          <w:tcPr>
            <w:tcW w:w="7088"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参考资料</w:t>
            </w:r>
          </w:p>
        </w:tc>
      </w:tr>
      <w:tr w:rsidR="00D72447" w:rsidRPr="00E44F70">
        <w:trPr>
          <w:jc w:val="center"/>
        </w:trPr>
        <w:tc>
          <w:tcPr>
            <w:tcW w:w="1271"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外部资源参考</w:t>
            </w:r>
          </w:p>
        </w:tc>
        <w:tc>
          <w:tcPr>
            <w:tcW w:w="708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部门</w:t>
            </w:r>
            <w:r w:rsidR="00376C4E" w:rsidRPr="00E44F70">
              <w:rPr>
                <w:rFonts w:ascii="仿宋_GB2312" w:eastAsia="仿宋_GB2312" w:hAnsi="宋体" w:hint="eastAsia"/>
                <w:sz w:val="24"/>
                <w:szCs w:val="24"/>
              </w:rPr>
              <w:t>转型</w:t>
            </w:r>
            <w:r w:rsidRPr="00E44F70">
              <w:rPr>
                <w:rFonts w:ascii="仿宋_GB2312" w:eastAsia="仿宋_GB2312" w:hAnsi="宋体" w:hint="eastAsia"/>
                <w:sz w:val="24"/>
                <w:szCs w:val="24"/>
              </w:rPr>
              <w:t>计划，如国家可持续发展目标中的部门目标、国家气候政策中的部门目标、工业主管部门的部门技术路线图</w:t>
            </w:r>
          </w:p>
        </w:tc>
      </w:tr>
      <w:tr w:rsidR="00D72447" w:rsidRPr="00E44F70">
        <w:trPr>
          <w:jc w:val="center"/>
        </w:trPr>
        <w:tc>
          <w:tcPr>
            <w:tcW w:w="1271" w:type="dxa"/>
            <w:vMerge/>
            <w:vAlign w:val="center"/>
          </w:tcPr>
          <w:p w:rsidR="00D72447" w:rsidRPr="00E44F70" w:rsidRDefault="00D72447">
            <w:pPr>
              <w:jc w:val="center"/>
              <w:rPr>
                <w:rFonts w:ascii="仿宋_GB2312" w:eastAsia="仿宋_GB2312" w:hAnsi="宋体" w:hint="eastAsia"/>
                <w:sz w:val="24"/>
                <w:szCs w:val="24"/>
              </w:rPr>
            </w:pPr>
          </w:p>
        </w:tc>
        <w:tc>
          <w:tcPr>
            <w:tcW w:w="708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区域或国家</w:t>
            </w:r>
            <w:r w:rsidR="00376C4E" w:rsidRPr="00E44F70">
              <w:rPr>
                <w:rFonts w:ascii="仿宋_GB2312" w:eastAsia="仿宋_GB2312" w:hAnsi="宋体" w:hint="eastAsia"/>
                <w:sz w:val="24"/>
                <w:szCs w:val="24"/>
              </w:rPr>
              <w:t>转型</w:t>
            </w:r>
            <w:r w:rsidRPr="00E44F70">
              <w:rPr>
                <w:rFonts w:ascii="仿宋_GB2312" w:eastAsia="仿宋_GB2312" w:hAnsi="宋体" w:hint="eastAsia"/>
                <w:sz w:val="24"/>
                <w:szCs w:val="24"/>
              </w:rPr>
              <w:t>分类法，如东盟可持续金融分类标准第二版包括绿色和转型活动</w:t>
            </w:r>
          </w:p>
        </w:tc>
      </w:tr>
      <w:tr w:rsidR="00D72447" w:rsidRPr="00E44F70">
        <w:trPr>
          <w:jc w:val="center"/>
        </w:trPr>
        <w:tc>
          <w:tcPr>
            <w:tcW w:w="1271" w:type="dxa"/>
            <w:vMerge/>
            <w:vAlign w:val="center"/>
          </w:tcPr>
          <w:p w:rsidR="00D72447" w:rsidRPr="00E44F70" w:rsidRDefault="00D72447">
            <w:pPr>
              <w:jc w:val="center"/>
              <w:rPr>
                <w:rFonts w:ascii="仿宋_GB2312" w:eastAsia="仿宋_GB2312" w:hAnsi="宋体" w:hint="eastAsia"/>
                <w:sz w:val="24"/>
                <w:szCs w:val="24"/>
              </w:rPr>
            </w:pPr>
          </w:p>
        </w:tc>
        <w:tc>
          <w:tcPr>
            <w:tcW w:w="708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国际金融倡议，如亚行能源转型机制、多边开发银行和各国政府资助的“加速煤炭转型”方案</w:t>
            </w:r>
          </w:p>
        </w:tc>
      </w:tr>
      <w:tr w:rsidR="00D72447" w:rsidRPr="00E44F70">
        <w:trPr>
          <w:jc w:val="center"/>
        </w:trPr>
        <w:tc>
          <w:tcPr>
            <w:tcW w:w="1271" w:type="dxa"/>
            <w:vMerge/>
            <w:vAlign w:val="center"/>
          </w:tcPr>
          <w:p w:rsidR="00D72447" w:rsidRPr="00E44F70" w:rsidRDefault="00D72447">
            <w:pPr>
              <w:jc w:val="center"/>
              <w:rPr>
                <w:rFonts w:ascii="仿宋_GB2312" w:eastAsia="仿宋_GB2312" w:hAnsi="宋体" w:hint="eastAsia"/>
                <w:sz w:val="24"/>
                <w:szCs w:val="24"/>
              </w:rPr>
            </w:pPr>
          </w:p>
        </w:tc>
        <w:tc>
          <w:tcPr>
            <w:tcW w:w="708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基于IPCC和IEA等国际组织、学术界和行业协会等可靠分析的去碳化途径</w:t>
            </w:r>
          </w:p>
        </w:tc>
      </w:tr>
      <w:tr w:rsidR="00D72447" w:rsidRPr="00E44F70">
        <w:trPr>
          <w:jc w:val="center"/>
        </w:trPr>
        <w:tc>
          <w:tcPr>
            <w:tcW w:w="127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客户沟通</w:t>
            </w:r>
          </w:p>
        </w:tc>
        <w:tc>
          <w:tcPr>
            <w:tcW w:w="708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客户文档</w:t>
            </w:r>
          </w:p>
        </w:tc>
      </w:tr>
      <w:tr w:rsidR="00D72447" w:rsidRPr="00E44F70">
        <w:trPr>
          <w:jc w:val="center"/>
        </w:trPr>
        <w:tc>
          <w:tcPr>
            <w:tcW w:w="127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伙伴对话</w:t>
            </w:r>
          </w:p>
        </w:tc>
        <w:tc>
          <w:tcPr>
            <w:tcW w:w="708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煤炭</w:t>
            </w:r>
            <w:r w:rsidR="00376C4E" w:rsidRPr="00E44F70">
              <w:rPr>
                <w:rFonts w:ascii="仿宋_GB2312" w:eastAsia="仿宋_GB2312" w:hAnsi="宋体" w:hint="eastAsia"/>
                <w:sz w:val="24"/>
                <w:szCs w:val="24"/>
              </w:rPr>
              <w:t>转型</w:t>
            </w:r>
            <w:r w:rsidRPr="00E44F70">
              <w:rPr>
                <w:rFonts w:ascii="仿宋_GB2312" w:eastAsia="仿宋_GB2312" w:hAnsi="宋体" w:hint="eastAsia"/>
                <w:sz w:val="24"/>
                <w:szCs w:val="24"/>
              </w:rPr>
              <w:t>倡议，如由政府发起、私人资本参与的“公正能源转型伙伴关系”，或由多个国际组织和企业牵头、提供工具和技术援助的煤炭资产转型加速器</w:t>
            </w:r>
          </w:p>
        </w:tc>
      </w:tr>
    </w:tbl>
    <w:p w:rsidR="00D72447" w:rsidRPr="00E44F70" w:rsidRDefault="00D72447">
      <w:pPr>
        <w:rPr>
          <w:rFonts w:ascii="宋体" w:eastAsia="宋体" w:hAnsi="宋体" w:hint="eastAsia"/>
        </w:rPr>
      </w:pP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lastRenderedPageBreak/>
        <w:t>2.公司层面。</w:t>
      </w: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综合考虑公司的类型和结构、与银行的长期关系、运营期间的动态等因素制定公司层面的退出指标（见表3）。</w:t>
      </w:r>
    </w:p>
    <w:p w:rsidR="00D72447" w:rsidRPr="00E44F70" w:rsidRDefault="00D72447">
      <w:pPr>
        <w:jc w:val="center"/>
        <w:rPr>
          <w:rFonts w:ascii="仿宋_GB2312" w:eastAsia="仿宋_GB2312" w:hAnsi="宋体" w:hint="eastAsia"/>
          <w:b/>
          <w:bCs/>
          <w:sz w:val="24"/>
          <w:szCs w:val="24"/>
        </w:rPr>
      </w:pPr>
    </w:p>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 xml:space="preserve">表3 </w:t>
      </w:r>
      <w:r w:rsidRPr="00E44F70">
        <w:rPr>
          <w:rFonts w:ascii="仿宋_GB2312" w:eastAsia="仿宋_GB2312" w:hAnsi="宋体"/>
          <w:b/>
          <w:bCs/>
          <w:sz w:val="24"/>
          <w:szCs w:val="24"/>
        </w:rPr>
        <w:t>排除</w:t>
      </w:r>
      <w:r w:rsidRPr="00E44F70">
        <w:rPr>
          <w:rFonts w:ascii="仿宋_GB2312" w:eastAsia="仿宋_GB2312" w:hAnsi="宋体" w:hint="eastAsia"/>
          <w:b/>
          <w:bCs/>
          <w:sz w:val="24"/>
          <w:szCs w:val="24"/>
        </w:rPr>
        <w:t>不合格</w:t>
      </w:r>
      <w:r w:rsidRPr="00E44F70">
        <w:rPr>
          <w:rFonts w:ascii="仿宋_GB2312" w:eastAsia="仿宋_GB2312" w:hAnsi="宋体"/>
          <w:b/>
          <w:bCs/>
          <w:sz w:val="24"/>
          <w:szCs w:val="24"/>
        </w:rPr>
        <w:t>公司</w:t>
      </w:r>
      <w:r w:rsidRPr="00E44F70">
        <w:rPr>
          <w:rFonts w:ascii="仿宋_GB2312" w:eastAsia="仿宋_GB2312" w:hAnsi="宋体" w:hint="eastAsia"/>
          <w:b/>
          <w:bCs/>
          <w:sz w:val="24"/>
          <w:szCs w:val="24"/>
        </w:rPr>
        <w:t>的</w:t>
      </w:r>
      <w:r w:rsidRPr="00E44F70">
        <w:rPr>
          <w:rFonts w:ascii="仿宋_GB2312" w:eastAsia="仿宋_GB2312" w:hAnsi="宋体"/>
          <w:b/>
          <w:bCs/>
          <w:sz w:val="24"/>
          <w:szCs w:val="24"/>
        </w:rPr>
        <w:t>指标</w:t>
      </w:r>
    </w:p>
    <w:tbl>
      <w:tblPr>
        <w:tblStyle w:val="af2"/>
        <w:tblW w:w="8217" w:type="dxa"/>
        <w:jc w:val="center"/>
        <w:tblLook w:val="04A0" w:firstRow="1" w:lastRow="0" w:firstColumn="1" w:lastColumn="0" w:noHBand="0" w:noVBand="1"/>
      </w:tblPr>
      <w:tblGrid>
        <w:gridCol w:w="2405"/>
        <w:gridCol w:w="5812"/>
      </w:tblGrid>
      <w:tr w:rsidR="00D72447" w:rsidRPr="00E44F70">
        <w:trPr>
          <w:jc w:val="center"/>
        </w:trPr>
        <w:tc>
          <w:tcPr>
            <w:tcW w:w="2405"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指标</w:t>
            </w:r>
          </w:p>
        </w:tc>
        <w:tc>
          <w:tcPr>
            <w:tcW w:w="5812"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说明</w:t>
            </w:r>
          </w:p>
        </w:tc>
      </w:tr>
      <w:tr w:rsidR="00D72447" w:rsidRPr="00E44F70">
        <w:trPr>
          <w:jc w:val="center"/>
        </w:trPr>
        <w:tc>
          <w:tcPr>
            <w:tcW w:w="2405" w:type="dxa"/>
            <w:vAlign w:val="center"/>
          </w:tcPr>
          <w:p w:rsidR="00D72447" w:rsidRPr="00E44F70" w:rsidRDefault="00376C4E">
            <w:pPr>
              <w:jc w:val="center"/>
              <w:rPr>
                <w:rFonts w:ascii="仿宋_GB2312" w:eastAsia="仿宋_GB2312" w:hAnsi="宋体" w:hint="eastAsia"/>
                <w:sz w:val="24"/>
                <w:szCs w:val="24"/>
              </w:rPr>
            </w:pPr>
            <w:r w:rsidRPr="00E44F70">
              <w:rPr>
                <w:rFonts w:ascii="仿宋_GB2312" w:eastAsia="仿宋_GB2312" w:hAnsi="宋体" w:hint="eastAsia"/>
                <w:sz w:val="24"/>
                <w:szCs w:val="24"/>
              </w:rPr>
              <w:t>煤炭依赖或参与程度</w:t>
            </w:r>
          </w:p>
        </w:tc>
        <w:tc>
          <w:tcPr>
            <w:tcW w:w="5812"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说明何种类型和程度的煤炭参与或依赖会触发撤资</w:t>
            </w:r>
          </w:p>
        </w:tc>
      </w:tr>
      <w:tr w:rsidR="00D72447" w:rsidRPr="00E44F70">
        <w:trPr>
          <w:jc w:val="center"/>
        </w:trPr>
        <w:tc>
          <w:tcPr>
            <w:tcW w:w="2405"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公司类型</w:t>
            </w:r>
          </w:p>
        </w:tc>
        <w:tc>
          <w:tcPr>
            <w:tcW w:w="5812"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说明撤资如何适用于现有客户和潜在客户</w:t>
            </w:r>
          </w:p>
        </w:tc>
      </w:tr>
      <w:tr w:rsidR="00D72447" w:rsidRPr="00E44F70">
        <w:trPr>
          <w:jc w:val="center"/>
        </w:trPr>
        <w:tc>
          <w:tcPr>
            <w:tcW w:w="2405"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公司结构</w:t>
            </w:r>
          </w:p>
        </w:tc>
        <w:tc>
          <w:tcPr>
            <w:tcW w:w="5812"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说明撤资如何适用于多元化公司集团及其子公司</w:t>
            </w:r>
          </w:p>
        </w:tc>
      </w:tr>
      <w:tr w:rsidR="00D72447" w:rsidRPr="00E44F70">
        <w:trPr>
          <w:jc w:val="center"/>
        </w:trPr>
        <w:tc>
          <w:tcPr>
            <w:tcW w:w="2405"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分阶段退出</w:t>
            </w:r>
          </w:p>
        </w:tc>
        <w:tc>
          <w:tcPr>
            <w:tcW w:w="5812"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降低煤炭参与程度，并在一段时间后撤资</w:t>
            </w:r>
          </w:p>
        </w:tc>
      </w:tr>
      <w:tr w:rsidR="00D72447" w:rsidRPr="00E44F70">
        <w:trPr>
          <w:jc w:val="center"/>
        </w:trPr>
        <w:tc>
          <w:tcPr>
            <w:tcW w:w="2405" w:type="dxa"/>
            <w:vMerge/>
            <w:vAlign w:val="center"/>
          </w:tcPr>
          <w:p w:rsidR="00D72447" w:rsidRPr="00E44F70" w:rsidRDefault="00D72447">
            <w:pPr>
              <w:jc w:val="center"/>
              <w:rPr>
                <w:rFonts w:ascii="仿宋_GB2312" w:eastAsia="仿宋_GB2312" w:hAnsi="宋体" w:hint="eastAsia"/>
                <w:sz w:val="24"/>
                <w:szCs w:val="24"/>
              </w:rPr>
            </w:pPr>
          </w:p>
        </w:tc>
        <w:tc>
          <w:tcPr>
            <w:tcW w:w="5812"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提高接受新客户或为现有客户再融资的资格要求</w:t>
            </w:r>
          </w:p>
        </w:tc>
      </w:tr>
    </w:tbl>
    <w:p w:rsidR="00D72447" w:rsidRPr="00E44F70" w:rsidRDefault="00D72447">
      <w:pPr>
        <w:rPr>
          <w:rFonts w:ascii="宋体" w:eastAsia="宋体" w:hAnsi="宋体" w:hint="eastAsia"/>
          <w:b/>
          <w:bCs/>
        </w:rPr>
      </w:pP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为确保退出煤炭融资的可信度，银行可根据客户类型和结构，采用包含相对值和绝对值的指标体系开展绩效检查，全面评估客户的煤炭依赖或参与程度，或运用指标来识别有能力、有意愿转型的煤炭客户，协助客户制定可信的转型计划（见表4）。检查方法包括定期与客户沟通、收集媒体信息、监管信息和公众监督。</w:t>
      </w:r>
    </w:p>
    <w:p w:rsidR="00D72447" w:rsidRPr="00E44F70" w:rsidRDefault="00D72447">
      <w:pPr>
        <w:jc w:val="center"/>
        <w:rPr>
          <w:rFonts w:ascii="仿宋_GB2312" w:eastAsia="仿宋_GB2312" w:hAnsi="宋体" w:hint="eastAsia"/>
          <w:b/>
          <w:bCs/>
          <w:sz w:val="24"/>
          <w:szCs w:val="24"/>
        </w:rPr>
      </w:pPr>
    </w:p>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 xml:space="preserve">表4 </w:t>
      </w:r>
      <w:r w:rsidRPr="00E44F70">
        <w:rPr>
          <w:rFonts w:ascii="仿宋_GB2312" w:eastAsia="仿宋_GB2312" w:hAnsi="宋体"/>
          <w:b/>
          <w:bCs/>
          <w:sz w:val="24"/>
          <w:szCs w:val="24"/>
        </w:rPr>
        <w:t>用于确定客户对煤炭的</w:t>
      </w:r>
      <w:r w:rsidR="00376C4E" w:rsidRPr="00E44F70">
        <w:rPr>
          <w:rFonts w:ascii="仿宋_GB2312" w:eastAsia="仿宋_GB2312" w:hAnsi="宋体" w:hint="eastAsia"/>
          <w:b/>
          <w:bCs/>
          <w:sz w:val="24"/>
          <w:szCs w:val="24"/>
        </w:rPr>
        <w:t>依赖或参与</w:t>
      </w:r>
      <w:r w:rsidRPr="00E44F70">
        <w:rPr>
          <w:rFonts w:ascii="仿宋_GB2312" w:eastAsia="仿宋_GB2312" w:hAnsi="宋体"/>
          <w:b/>
          <w:bCs/>
          <w:sz w:val="24"/>
          <w:szCs w:val="24"/>
        </w:rPr>
        <w:t>程度的公司级指标</w:t>
      </w:r>
    </w:p>
    <w:tbl>
      <w:tblPr>
        <w:tblStyle w:val="af2"/>
        <w:tblW w:w="5000" w:type="pct"/>
        <w:tblLook w:val="04A0" w:firstRow="1" w:lastRow="0" w:firstColumn="1" w:lastColumn="0" w:noHBand="0" w:noVBand="1"/>
      </w:tblPr>
      <w:tblGrid>
        <w:gridCol w:w="5382"/>
        <w:gridCol w:w="2914"/>
      </w:tblGrid>
      <w:tr w:rsidR="00D72447" w:rsidRPr="00E44F70">
        <w:tc>
          <w:tcPr>
            <w:tcW w:w="3244" w:type="pct"/>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指标</w:t>
            </w:r>
          </w:p>
        </w:tc>
        <w:tc>
          <w:tcPr>
            <w:tcW w:w="1756" w:type="pct"/>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适用</w:t>
            </w:r>
          </w:p>
        </w:tc>
      </w:tr>
      <w:tr w:rsidR="00D72447" w:rsidRPr="00E44F70">
        <w:tc>
          <w:tcPr>
            <w:tcW w:w="3244"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参与新煤炭项目的情况，通过核对客户提供的信息，结合项目登记册或主管人员提供的审批信息、媒体报道、实地考察或第三方核查来确定</w:t>
            </w:r>
          </w:p>
        </w:tc>
        <w:tc>
          <w:tcPr>
            <w:tcW w:w="1756"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适合从事上游和中游一级活动以及二级输配电、基础设施和设备活动的公司</w:t>
            </w:r>
          </w:p>
        </w:tc>
      </w:tr>
      <w:tr w:rsidR="00D72447" w:rsidRPr="00E44F70">
        <w:tc>
          <w:tcPr>
            <w:tcW w:w="3244"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对煤炭的经济依赖：</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相对值：煤炭在收入/年产量中的份额</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绝对值：煤炭产量/销售量</w:t>
            </w:r>
          </w:p>
        </w:tc>
        <w:tc>
          <w:tcPr>
            <w:tcW w:w="1756"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适用于从事第一或第二产业活动的公司</w:t>
            </w:r>
          </w:p>
        </w:tc>
      </w:tr>
      <w:tr w:rsidR="00D72447" w:rsidRPr="00E44F70">
        <w:tc>
          <w:tcPr>
            <w:tcW w:w="3244"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燃料对煤炭的依赖程度：</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相对值：每吨产品的煤炭消耗量，煤炭在燃料或电力消耗总量中的份额</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绝对值：煤炭消耗量</w:t>
            </w:r>
          </w:p>
        </w:tc>
        <w:tc>
          <w:tcPr>
            <w:tcW w:w="1756"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适合作为煤炭用户参与主要活动的公司</w:t>
            </w:r>
          </w:p>
        </w:tc>
      </w:tr>
      <w:tr w:rsidR="00D72447" w:rsidRPr="00E44F70">
        <w:tc>
          <w:tcPr>
            <w:tcW w:w="3244"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碳排放绩效：</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经济强度值（克二氧化碳当量/美元收入）</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物理强度值（克二氧化碳当量/吨产品、克二氧化碳当量/兆瓦、克二氧化碳当量/千瓦时、克二氧化碳当量/平方米）</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作为上限的总排放量（绝对排放量）</w:t>
            </w:r>
          </w:p>
        </w:tc>
        <w:tc>
          <w:tcPr>
            <w:tcW w:w="1756"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适合从事主要活动的公司。</w:t>
            </w:r>
          </w:p>
        </w:tc>
      </w:tr>
      <w:tr w:rsidR="00D72447" w:rsidRPr="00E44F70">
        <w:tc>
          <w:tcPr>
            <w:tcW w:w="5000" w:type="pct"/>
            <w:gridSpan w:val="2"/>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lastRenderedPageBreak/>
              <w:t>（1）对煤炭的经济依赖广泛适用于第一产业和第二产业。其他三项标准的适用范围有限，但可提供部门特征，以便对照标准进行衡量。</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（2）相对指标有助于跨部门、县和地区的绩效比较。</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（3）绝对指标适合业务多样化的客户，因为煤炭在收入中的份额等指标可能会被稀释。</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（4）对于分阶段退出</w:t>
            </w:r>
            <w:r w:rsidR="00E44F70" w:rsidRPr="00E44F70">
              <w:rPr>
                <w:rFonts w:ascii="仿宋_GB2312" w:eastAsia="仿宋_GB2312" w:hAnsi="宋体" w:hint="eastAsia"/>
                <w:sz w:val="24"/>
                <w:szCs w:val="24"/>
              </w:rPr>
              <w:t>的客户</w:t>
            </w:r>
            <w:r w:rsidRPr="00E44F70">
              <w:rPr>
                <w:rFonts w:ascii="仿宋_GB2312" w:eastAsia="仿宋_GB2312" w:hAnsi="宋体" w:hint="eastAsia"/>
                <w:sz w:val="24"/>
                <w:szCs w:val="24"/>
              </w:rPr>
              <w:t>，银行可逐步减少煤炭融资或提高资格要求。</w:t>
            </w:r>
          </w:p>
        </w:tc>
      </w:tr>
    </w:tbl>
    <w:p w:rsidR="00D72447" w:rsidRPr="00E44F70" w:rsidRDefault="00D72447">
      <w:pPr>
        <w:rPr>
          <w:rFonts w:ascii="宋体" w:eastAsia="宋体" w:hAnsi="宋体" w:hint="eastAsia"/>
        </w:rPr>
      </w:pP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3.投资组合层面。</w:t>
      </w: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投资组合层面的衡量标准代表进展情况以及与气候承诺和政策的一致性，可以帮助银行管理团队评估绩效、管理财务和有效分配资源。银行在检查退出煤炭融资进展时，通常采用煤炭风险</w:t>
      </w:r>
      <w:r w:rsidR="00376C4E" w:rsidRPr="00E44F70">
        <w:rPr>
          <w:rFonts w:ascii="仿宋_GB2312" w:eastAsia="仿宋_GB2312" w:hAnsi="宋体" w:hint="eastAsia"/>
          <w:sz w:val="30"/>
          <w:szCs w:val="30"/>
        </w:rPr>
        <w:t>指标、</w:t>
      </w:r>
      <w:r w:rsidRPr="00E44F70">
        <w:rPr>
          <w:rFonts w:ascii="仿宋_GB2312" w:eastAsia="仿宋_GB2312" w:hAnsi="宋体" w:hint="eastAsia"/>
          <w:sz w:val="30"/>
          <w:szCs w:val="30"/>
        </w:rPr>
        <w:t>融资碳排放（范围3）指标</w:t>
      </w:r>
      <w:r w:rsidR="00376C4E" w:rsidRPr="00E44F70">
        <w:rPr>
          <w:rFonts w:ascii="仿宋_GB2312" w:eastAsia="仿宋_GB2312" w:hAnsi="宋体" w:hint="eastAsia"/>
          <w:sz w:val="30"/>
          <w:szCs w:val="30"/>
        </w:rPr>
        <w:t>、</w:t>
      </w:r>
      <w:r w:rsidRPr="00E44F70">
        <w:rPr>
          <w:rFonts w:ascii="仿宋_GB2312" w:eastAsia="仿宋_GB2312" w:hAnsi="宋体" w:hint="eastAsia"/>
          <w:sz w:val="30"/>
          <w:szCs w:val="30"/>
        </w:rPr>
        <w:t>源自气候政策和去碳化路径的指标</w:t>
      </w:r>
      <w:r w:rsidR="00376C4E" w:rsidRPr="00E44F70">
        <w:rPr>
          <w:rFonts w:ascii="仿宋_GB2312" w:eastAsia="仿宋_GB2312" w:hAnsi="宋体" w:hint="eastAsia"/>
          <w:sz w:val="30"/>
          <w:szCs w:val="30"/>
        </w:rPr>
        <w:t>及</w:t>
      </w:r>
      <w:r w:rsidRPr="00E44F70">
        <w:rPr>
          <w:rFonts w:ascii="仿宋_GB2312" w:eastAsia="仿宋_GB2312" w:hAnsi="宋体" w:hint="eastAsia"/>
          <w:sz w:val="30"/>
          <w:szCs w:val="30"/>
        </w:rPr>
        <w:t>基准来评估银行在煤炭转型融资方面的进展（见表5），以实现与气候政策和去碳化路径的一致。这些指标和基准由政府或有资质的组织制定，可确保转型与气候承诺和政策保持一致，在调整投资组合结构时应限制高排放活动、减少融资碳排放、优先考虑排放绩效更好的项目，并通过第三方核查提高可信度。</w:t>
      </w:r>
    </w:p>
    <w:p w:rsidR="00D72447" w:rsidRPr="00E44F70" w:rsidRDefault="00D72447">
      <w:pPr>
        <w:jc w:val="center"/>
        <w:rPr>
          <w:rFonts w:ascii="仿宋_GB2312" w:eastAsia="仿宋_GB2312" w:hAnsi="宋体" w:hint="eastAsia"/>
          <w:b/>
          <w:bCs/>
          <w:sz w:val="24"/>
          <w:szCs w:val="24"/>
        </w:rPr>
      </w:pPr>
    </w:p>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表5  投资组合指标</w:t>
      </w:r>
    </w:p>
    <w:tbl>
      <w:tblPr>
        <w:tblStyle w:val="af2"/>
        <w:tblW w:w="5301" w:type="pct"/>
        <w:jc w:val="center"/>
        <w:tblLook w:val="04A0" w:firstRow="1" w:lastRow="0" w:firstColumn="1" w:lastColumn="0" w:noHBand="0" w:noVBand="1"/>
      </w:tblPr>
      <w:tblGrid>
        <w:gridCol w:w="1280"/>
        <w:gridCol w:w="1703"/>
        <w:gridCol w:w="5812"/>
      </w:tblGrid>
      <w:tr w:rsidR="00D72447" w:rsidRPr="00E44F70">
        <w:trPr>
          <w:jc w:val="center"/>
        </w:trPr>
        <w:tc>
          <w:tcPr>
            <w:tcW w:w="728" w:type="pct"/>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类型</w:t>
            </w:r>
          </w:p>
        </w:tc>
        <w:tc>
          <w:tcPr>
            <w:tcW w:w="968" w:type="pct"/>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指标</w:t>
            </w:r>
          </w:p>
        </w:tc>
        <w:tc>
          <w:tcPr>
            <w:tcW w:w="3305" w:type="pct"/>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说明</w:t>
            </w:r>
          </w:p>
        </w:tc>
      </w:tr>
      <w:tr w:rsidR="00D72447" w:rsidRPr="00E44F70">
        <w:trPr>
          <w:jc w:val="center"/>
        </w:trPr>
        <w:tc>
          <w:tcPr>
            <w:tcW w:w="728" w:type="pct"/>
            <w:vMerge w:val="restar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衡量和报告退出煤炭融资进度的指标</w:t>
            </w:r>
          </w:p>
        </w:tc>
        <w:tc>
          <w:tcPr>
            <w:tcW w:w="968" w:type="pc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煤炭风险</w:t>
            </w:r>
          </w:p>
        </w:tc>
        <w:tc>
          <w:tcPr>
            <w:tcW w:w="3305"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具体说明造成风险的金融工具和服务，并考虑更广泛的覆盖范围。目前的做法是披露煤炭在贷款和投资方面的风险敞口，但不披露海外、间接或OBS活动。</w:t>
            </w:r>
          </w:p>
        </w:tc>
      </w:tr>
      <w:tr w:rsidR="00D72447" w:rsidRPr="00E44F70">
        <w:trPr>
          <w:jc w:val="center"/>
        </w:trPr>
        <w:tc>
          <w:tcPr>
            <w:tcW w:w="728" w:type="pct"/>
            <w:vMerge/>
            <w:vAlign w:val="center"/>
          </w:tcPr>
          <w:p w:rsidR="00D72447" w:rsidRPr="00E44F70" w:rsidRDefault="00D72447">
            <w:pPr>
              <w:rPr>
                <w:rFonts w:ascii="仿宋_GB2312" w:eastAsia="仿宋_GB2312" w:hAnsi="宋体" w:hint="eastAsia"/>
                <w:sz w:val="24"/>
                <w:szCs w:val="24"/>
              </w:rPr>
            </w:pPr>
          </w:p>
        </w:tc>
        <w:tc>
          <w:tcPr>
            <w:tcW w:w="968" w:type="pct"/>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融资</w:t>
            </w:r>
            <w:r w:rsidR="00376C4E" w:rsidRPr="00E44F70">
              <w:rPr>
                <w:rFonts w:ascii="仿宋_GB2312" w:eastAsia="仿宋_GB2312" w:hAnsi="宋体" w:hint="eastAsia"/>
                <w:sz w:val="24"/>
                <w:szCs w:val="24"/>
              </w:rPr>
              <w:t>碳</w:t>
            </w:r>
            <w:r w:rsidRPr="00E44F70">
              <w:rPr>
                <w:rFonts w:ascii="仿宋_GB2312" w:eastAsia="仿宋_GB2312" w:hAnsi="宋体" w:hint="eastAsia"/>
                <w:sz w:val="24"/>
                <w:szCs w:val="24"/>
              </w:rPr>
              <w:t>排放</w:t>
            </w:r>
          </w:p>
        </w:tc>
        <w:tc>
          <w:tcPr>
            <w:tcW w:w="3305"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明确项目和客户融资排放的排放范围，并建立可比较的覆盖范围。</w:t>
            </w:r>
          </w:p>
        </w:tc>
      </w:tr>
      <w:tr w:rsidR="00D72447" w:rsidRPr="00E44F70">
        <w:trPr>
          <w:jc w:val="center"/>
        </w:trPr>
        <w:tc>
          <w:tcPr>
            <w:tcW w:w="728" w:type="pct"/>
            <w:vMerge/>
            <w:vAlign w:val="center"/>
          </w:tcPr>
          <w:p w:rsidR="00D72447" w:rsidRPr="00E44F70" w:rsidRDefault="00D72447">
            <w:pPr>
              <w:rPr>
                <w:rFonts w:ascii="仿宋_GB2312" w:eastAsia="仿宋_GB2312" w:hAnsi="宋体" w:hint="eastAsia"/>
                <w:sz w:val="24"/>
                <w:szCs w:val="24"/>
              </w:rPr>
            </w:pPr>
          </w:p>
        </w:tc>
        <w:tc>
          <w:tcPr>
            <w:tcW w:w="968" w:type="pct"/>
            <w:vMerge/>
            <w:vAlign w:val="center"/>
          </w:tcPr>
          <w:p w:rsidR="00D72447" w:rsidRPr="00E44F70" w:rsidRDefault="00D72447">
            <w:pPr>
              <w:jc w:val="center"/>
              <w:rPr>
                <w:rFonts w:ascii="仿宋_GB2312" w:eastAsia="仿宋_GB2312" w:hAnsi="宋体" w:hint="eastAsia"/>
                <w:sz w:val="24"/>
                <w:szCs w:val="24"/>
              </w:rPr>
            </w:pPr>
          </w:p>
        </w:tc>
        <w:tc>
          <w:tcPr>
            <w:tcW w:w="3305"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解释排放归因的原理和方法，银行可以采用加权系数将公司或项目排放归因于融资排放。</w:t>
            </w:r>
          </w:p>
        </w:tc>
      </w:tr>
      <w:tr w:rsidR="00D72447" w:rsidRPr="00E44F70">
        <w:trPr>
          <w:jc w:val="center"/>
        </w:trPr>
        <w:tc>
          <w:tcPr>
            <w:tcW w:w="728" w:type="pct"/>
            <w:vMerge/>
            <w:vAlign w:val="center"/>
          </w:tcPr>
          <w:p w:rsidR="00D72447" w:rsidRPr="00E44F70" w:rsidRDefault="00D72447">
            <w:pPr>
              <w:rPr>
                <w:rFonts w:ascii="仿宋_GB2312" w:eastAsia="仿宋_GB2312" w:hAnsi="宋体" w:hint="eastAsia"/>
                <w:sz w:val="24"/>
                <w:szCs w:val="24"/>
              </w:rPr>
            </w:pPr>
          </w:p>
        </w:tc>
        <w:tc>
          <w:tcPr>
            <w:tcW w:w="968" w:type="pc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煤炭</w:t>
            </w:r>
            <w:r w:rsidR="00376C4E" w:rsidRPr="00E44F70">
              <w:rPr>
                <w:rFonts w:ascii="仿宋_GB2312" w:eastAsia="仿宋_GB2312" w:hAnsi="宋体" w:hint="eastAsia"/>
                <w:sz w:val="24"/>
                <w:szCs w:val="24"/>
              </w:rPr>
              <w:t>转型</w:t>
            </w:r>
            <w:r w:rsidRPr="00E44F70">
              <w:rPr>
                <w:rFonts w:ascii="仿宋_GB2312" w:eastAsia="仿宋_GB2312" w:hAnsi="宋体" w:hint="eastAsia"/>
                <w:sz w:val="24"/>
                <w:szCs w:val="24"/>
              </w:rPr>
              <w:t>融资</w:t>
            </w:r>
          </w:p>
        </w:tc>
        <w:tc>
          <w:tcPr>
            <w:tcW w:w="3305"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sz w:val="24"/>
                <w:szCs w:val="24"/>
              </w:rPr>
              <w:t>采用补充性指标衡量和披露煤炭转型融资进展</w:t>
            </w:r>
          </w:p>
        </w:tc>
      </w:tr>
      <w:tr w:rsidR="00D72447" w:rsidRPr="00E44F70">
        <w:trPr>
          <w:jc w:val="center"/>
        </w:trPr>
        <w:tc>
          <w:tcPr>
            <w:tcW w:w="728" w:type="pct"/>
            <w:vMerge w:val="restar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衡量与气候承诺和政策一致性的指标</w:t>
            </w:r>
          </w:p>
        </w:tc>
        <w:tc>
          <w:tcPr>
            <w:tcW w:w="968" w:type="pc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风险约束</w:t>
            </w:r>
          </w:p>
        </w:tc>
        <w:tc>
          <w:tcPr>
            <w:tcW w:w="3305"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根据气候政策限制行业风险，逐步淘汰煤炭相关活动，同时增加可再生能源份额。如法国巴黎银行以国际能源署2050年零净排放情景为基准设定逐步淘汰煤炭</w:t>
            </w:r>
            <w:r w:rsidR="00376C4E" w:rsidRPr="00E44F70">
              <w:rPr>
                <w:rFonts w:ascii="仿宋_GB2312" w:eastAsia="仿宋_GB2312" w:hAnsi="宋体" w:hint="eastAsia"/>
                <w:sz w:val="24"/>
                <w:szCs w:val="24"/>
              </w:rPr>
              <w:t>融资</w:t>
            </w:r>
            <w:r w:rsidRPr="00E44F70">
              <w:rPr>
                <w:rFonts w:ascii="仿宋_GB2312" w:eastAsia="仿宋_GB2312" w:hAnsi="宋体" w:hint="eastAsia"/>
                <w:sz w:val="24"/>
                <w:szCs w:val="24"/>
              </w:rPr>
              <w:t>的日期，并承诺增加可再生能源在其电力行业贷款中的比例；SBTi建议金融机构到2030年将清洁能源资产与化石燃料的金融支持比例提高到9:1。</w:t>
            </w:r>
          </w:p>
        </w:tc>
      </w:tr>
      <w:tr w:rsidR="00D72447" w:rsidRPr="00E44F70">
        <w:trPr>
          <w:jc w:val="center"/>
        </w:trPr>
        <w:tc>
          <w:tcPr>
            <w:tcW w:w="728" w:type="pct"/>
            <w:vMerge/>
            <w:vAlign w:val="center"/>
          </w:tcPr>
          <w:p w:rsidR="00D72447" w:rsidRPr="00E44F70" w:rsidRDefault="00D72447">
            <w:pPr>
              <w:rPr>
                <w:rFonts w:ascii="仿宋_GB2312" w:eastAsia="仿宋_GB2312" w:hAnsi="宋体" w:hint="eastAsia"/>
                <w:sz w:val="24"/>
                <w:szCs w:val="24"/>
              </w:rPr>
            </w:pPr>
          </w:p>
        </w:tc>
        <w:tc>
          <w:tcPr>
            <w:tcW w:w="968" w:type="pc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融资减排</w:t>
            </w:r>
          </w:p>
        </w:tc>
        <w:tc>
          <w:tcPr>
            <w:tcW w:w="3305"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使融资减排率与气候政策或去碳化路径相一致，并通</w:t>
            </w:r>
            <w:r w:rsidRPr="00E44F70">
              <w:rPr>
                <w:rFonts w:ascii="仿宋_GB2312" w:eastAsia="仿宋_GB2312" w:hAnsi="宋体" w:hint="eastAsia"/>
                <w:sz w:val="24"/>
                <w:szCs w:val="24"/>
              </w:rPr>
              <w:lastRenderedPageBreak/>
              <w:t>过统一基准和部门基准保持煤炭退出的可比性。统一基准如可投资工具基准要求加权经济碳强度（吨二氧化碳当量/欧元企业价值）每年减少7%，特定行业基准如使用从国际能源机构气候情景中得出的物理排放强度（克二氧化碳当量/千瓦时）作为设定发电行业融资减排目标基准。</w:t>
            </w:r>
          </w:p>
        </w:tc>
      </w:tr>
      <w:tr w:rsidR="00D72447" w:rsidRPr="00E44F70">
        <w:trPr>
          <w:jc w:val="center"/>
        </w:trPr>
        <w:tc>
          <w:tcPr>
            <w:tcW w:w="728" w:type="pct"/>
            <w:vMerge/>
            <w:vAlign w:val="center"/>
          </w:tcPr>
          <w:p w:rsidR="00D72447" w:rsidRPr="00E44F70" w:rsidRDefault="00D72447">
            <w:pPr>
              <w:rPr>
                <w:rFonts w:ascii="仿宋_GB2312" w:eastAsia="仿宋_GB2312" w:hAnsi="宋体" w:hint="eastAsia"/>
                <w:sz w:val="24"/>
                <w:szCs w:val="24"/>
              </w:rPr>
            </w:pPr>
          </w:p>
        </w:tc>
        <w:tc>
          <w:tcPr>
            <w:tcW w:w="968" w:type="pc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客户目标设定</w:t>
            </w:r>
          </w:p>
        </w:tc>
        <w:tc>
          <w:tcPr>
            <w:tcW w:w="3305" w:type="pc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敦促客户设定与巴黎气候大会一致的目标，并逐步提高比例，实现全覆盖。</w:t>
            </w:r>
          </w:p>
        </w:tc>
      </w:tr>
      <w:tr w:rsidR="00D72447" w:rsidRPr="00E44F70">
        <w:trPr>
          <w:trHeight w:val="1839"/>
          <w:jc w:val="center"/>
        </w:trPr>
        <w:tc>
          <w:tcPr>
            <w:tcW w:w="728" w:type="pct"/>
            <w:vMerge/>
            <w:vAlign w:val="center"/>
          </w:tcPr>
          <w:p w:rsidR="00D72447" w:rsidRPr="00E44F70" w:rsidRDefault="00D72447">
            <w:pPr>
              <w:rPr>
                <w:rFonts w:ascii="仿宋_GB2312" w:eastAsia="仿宋_GB2312" w:hAnsi="宋体" w:hint="eastAsia"/>
                <w:sz w:val="24"/>
                <w:szCs w:val="24"/>
              </w:rPr>
            </w:pPr>
          </w:p>
        </w:tc>
        <w:tc>
          <w:tcPr>
            <w:tcW w:w="4272" w:type="pct"/>
            <w:gridSpan w:val="2"/>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（1）</w:t>
            </w:r>
            <w:r w:rsidR="00376C4E" w:rsidRPr="00E44F70">
              <w:rPr>
                <w:rFonts w:ascii="仿宋_GB2312" w:eastAsia="仿宋_GB2312" w:hAnsi="宋体" w:hint="eastAsia"/>
                <w:sz w:val="24"/>
                <w:szCs w:val="24"/>
              </w:rPr>
              <w:t>风险</w:t>
            </w:r>
            <w:r w:rsidRPr="00E44F70">
              <w:rPr>
                <w:rFonts w:ascii="仿宋_GB2312" w:eastAsia="仿宋_GB2312" w:hAnsi="宋体" w:hint="eastAsia"/>
                <w:sz w:val="24"/>
                <w:szCs w:val="24"/>
              </w:rPr>
              <w:t>约束采用针对具体部门的方法，依赖于部门政策或去碳化路径，并有适当的地理和部门重点。</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（2）融资减排既可应用于特定部门（即使用从去碳化路径中得出的排放强度指标），也可应用于跨部门（即应用平均减排率）。</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（3）客户目标设定采用跨部门方法，可能需要第三方验证，以确保目标设定的可信度。</w:t>
            </w:r>
          </w:p>
        </w:tc>
      </w:tr>
    </w:tbl>
    <w:p w:rsidR="00D72447" w:rsidRPr="00E44F70" w:rsidRDefault="00D72447">
      <w:pPr>
        <w:rPr>
          <w:rFonts w:ascii="宋体" w:eastAsia="宋体" w:hAnsi="宋体" w:hint="eastAsia"/>
        </w:rPr>
      </w:pP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（四）中资银行建立退出煤炭融资的框架。</w:t>
      </w:r>
    </w:p>
    <w:p w:rsidR="00D72447" w:rsidRPr="00E44F70" w:rsidRDefault="00000000">
      <w:pPr>
        <w:adjustRightInd w:val="0"/>
        <w:snapToGrid w:val="0"/>
        <w:spacing w:line="600" w:lineRule="exact"/>
        <w:ind w:firstLineChars="200" w:firstLine="602"/>
        <w:rPr>
          <w:rFonts w:ascii="仿宋_GB2312" w:eastAsia="仿宋_GB2312" w:hAnsi="宋体" w:hint="eastAsia"/>
          <w:sz w:val="30"/>
          <w:szCs w:val="30"/>
        </w:rPr>
      </w:pPr>
      <w:r w:rsidRPr="00E44F70">
        <w:rPr>
          <w:rFonts w:ascii="仿宋_GB2312" w:eastAsia="仿宋_GB2312" w:hAnsi="宋体" w:hint="eastAsia"/>
          <w:b/>
          <w:bCs/>
          <w:sz w:val="30"/>
          <w:szCs w:val="30"/>
        </w:rPr>
        <w:t>一是建立退出煤炭融资的</w:t>
      </w:r>
      <w:r w:rsidR="00376C4E" w:rsidRPr="00E44F70">
        <w:rPr>
          <w:rFonts w:ascii="仿宋_GB2312" w:eastAsia="仿宋_GB2312" w:hAnsi="宋体" w:hint="eastAsia"/>
          <w:b/>
          <w:bCs/>
          <w:sz w:val="30"/>
          <w:szCs w:val="30"/>
        </w:rPr>
        <w:t>审查</w:t>
      </w:r>
      <w:r w:rsidRPr="00E44F70">
        <w:rPr>
          <w:rFonts w:ascii="仿宋_GB2312" w:eastAsia="仿宋_GB2312" w:hAnsi="宋体" w:hint="eastAsia"/>
          <w:b/>
          <w:bCs/>
          <w:sz w:val="30"/>
          <w:szCs w:val="30"/>
        </w:rPr>
        <w:t>清单。</w:t>
      </w:r>
      <w:r w:rsidRPr="00E44F70">
        <w:rPr>
          <w:rFonts w:ascii="仿宋_GB2312" w:eastAsia="仿宋_GB2312" w:hAnsi="宋体" w:hint="eastAsia"/>
          <w:sz w:val="30"/>
          <w:szCs w:val="30"/>
        </w:rPr>
        <w:t>需要建立四项制度安排（见表6）</w:t>
      </w:r>
      <w:r w:rsidR="00376C4E" w:rsidRPr="00E44F70">
        <w:rPr>
          <w:rFonts w:ascii="仿宋_GB2312" w:eastAsia="仿宋_GB2312" w:hAnsi="宋体" w:hint="eastAsia"/>
          <w:sz w:val="30"/>
          <w:szCs w:val="30"/>
        </w:rPr>
        <w:t>：</w:t>
      </w:r>
      <w:r w:rsidRPr="00E44F70">
        <w:rPr>
          <w:rFonts w:ascii="仿宋_GB2312" w:eastAsia="仿宋_GB2312" w:hAnsi="宋体" w:hint="eastAsia"/>
          <w:sz w:val="30"/>
          <w:szCs w:val="30"/>
        </w:rPr>
        <w:t>顶层承诺设定期望值，确保承诺和行动是可信的；业务细分确保对煤炭活动进行全面的检查；</w:t>
      </w:r>
      <w:r w:rsidR="00376C4E" w:rsidRPr="00E44F70">
        <w:rPr>
          <w:rFonts w:ascii="仿宋_GB2312" w:eastAsia="仿宋_GB2312" w:hAnsi="宋体" w:hint="eastAsia"/>
          <w:sz w:val="30"/>
          <w:szCs w:val="30"/>
        </w:rPr>
        <w:t>内部支持</w:t>
      </w:r>
      <w:r w:rsidRPr="00E44F70">
        <w:rPr>
          <w:rFonts w:ascii="仿宋_GB2312" w:eastAsia="仿宋_GB2312" w:hAnsi="宋体" w:hint="eastAsia"/>
          <w:sz w:val="30"/>
          <w:szCs w:val="30"/>
        </w:rPr>
        <w:t>明确职能划分并提高银行的实践能力；</w:t>
      </w:r>
      <w:r w:rsidR="00376C4E" w:rsidRPr="00E44F70">
        <w:rPr>
          <w:rFonts w:ascii="仿宋_GB2312" w:eastAsia="仿宋_GB2312" w:hAnsi="宋体" w:hint="eastAsia"/>
          <w:sz w:val="30"/>
          <w:szCs w:val="30"/>
        </w:rPr>
        <w:t>外部沟通</w:t>
      </w:r>
      <w:r w:rsidRPr="00E44F70">
        <w:rPr>
          <w:rFonts w:ascii="仿宋_GB2312" w:eastAsia="仿宋_GB2312" w:hAnsi="宋体" w:hint="eastAsia"/>
          <w:sz w:val="30"/>
          <w:szCs w:val="30"/>
        </w:rPr>
        <w:t>加强与外部利益相关者</w:t>
      </w:r>
      <w:r w:rsidR="00376C4E" w:rsidRPr="00E44F70">
        <w:rPr>
          <w:rFonts w:ascii="仿宋_GB2312" w:eastAsia="仿宋_GB2312" w:hAnsi="宋体" w:hint="eastAsia"/>
          <w:sz w:val="30"/>
          <w:szCs w:val="30"/>
        </w:rPr>
        <w:t>联系</w:t>
      </w:r>
      <w:r w:rsidRPr="00E44F70">
        <w:rPr>
          <w:rFonts w:ascii="仿宋_GB2312" w:eastAsia="仿宋_GB2312" w:hAnsi="宋体" w:hint="eastAsia"/>
          <w:sz w:val="30"/>
          <w:szCs w:val="30"/>
        </w:rPr>
        <w:t>，促进交流合作和监督改进。</w:t>
      </w:r>
    </w:p>
    <w:p w:rsidR="00D72447" w:rsidRPr="00E44F70" w:rsidRDefault="00D72447">
      <w:pPr>
        <w:jc w:val="center"/>
        <w:rPr>
          <w:rFonts w:ascii="仿宋_GB2312" w:eastAsia="仿宋_GB2312" w:hAnsi="宋体" w:hint="eastAsia"/>
          <w:b/>
          <w:bCs/>
          <w:sz w:val="24"/>
          <w:szCs w:val="24"/>
        </w:rPr>
      </w:pPr>
    </w:p>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表6 退出煤炭融资的审查清单</w:t>
      </w:r>
    </w:p>
    <w:tbl>
      <w:tblPr>
        <w:tblStyle w:val="af2"/>
        <w:tblW w:w="8642" w:type="dxa"/>
        <w:jc w:val="center"/>
        <w:tblLook w:val="04A0" w:firstRow="1" w:lastRow="0" w:firstColumn="1" w:lastColumn="0" w:noHBand="0" w:noVBand="1"/>
      </w:tblPr>
      <w:tblGrid>
        <w:gridCol w:w="1243"/>
        <w:gridCol w:w="1241"/>
        <w:gridCol w:w="6158"/>
      </w:tblGrid>
      <w:tr w:rsidR="00D72447" w:rsidRPr="00E44F70">
        <w:trPr>
          <w:jc w:val="center"/>
        </w:trPr>
        <w:tc>
          <w:tcPr>
            <w:tcW w:w="1243"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制度安排</w:t>
            </w:r>
          </w:p>
        </w:tc>
        <w:tc>
          <w:tcPr>
            <w:tcW w:w="1241"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内容</w:t>
            </w:r>
          </w:p>
        </w:tc>
        <w:tc>
          <w:tcPr>
            <w:tcW w:w="6158"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说明</w:t>
            </w:r>
          </w:p>
        </w:tc>
      </w:tr>
      <w:tr w:rsidR="00D72447" w:rsidRPr="00E44F70">
        <w:trPr>
          <w:jc w:val="center"/>
        </w:trPr>
        <w:tc>
          <w:tcPr>
            <w:tcW w:w="1243"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顶层承诺</w:t>
            </w: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承诺</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制定一项得到银行董事会和高层管理人员支持的退出煤炭融资承诺，并与集团战略和全球共识挂钩。</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时间表</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明确时间表，包括短期、中期、长期目标。</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覆盖范围</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解释与煤炭相关的经济活动、金融工具和服务的覆盖范围，业务线和职能的参与范围。</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行动</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解释在项目、公司和投资组合层面采取的行动，如撤资、加强客户管理、</w:t>
            </w:r>
            <w:r w:rsidR="00376C4E" w:rsidRPr="00E44F70">
              <w:rPr>
                <w:rFonts w:ascii="仿宋_GB2312" w:eastAsia="仿宋_GB2312" w:hAnsi="宋体" w:hint="eastAsia"/>
                <w:sz w:val="24"/>
                <w:szCs w:val="24"/>
              </w:rPr>
              <w:t>转型</w:t>
            </w:r>
            <w:r w:rsidRPr="00E44F70">
              <w:rPr>
                <w:rFonts w:ascii="仿宋_GB2312" w:eastAsia="仿宋_GB2312" w:hAnsi="宋体" w:hint="eastAsia"/>
                <w:sz w:val="24"/>
                <w:szCs w:val="24"/>
              </w:rPr>
              <w:t>融资、投资组合管理和信息披露。</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对标</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解释如何确保自身承诺与《巴黎协定》目标和国家气候承诺保持一致。</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376C4E">
            <w:pPr>
              <w:jc w:val="center"/>
              <w:rPr>
                <w:rFonts w:ascii="仿宋_GB2312" w:eastAsia="仿宋_GB2312" w:hAnsi="宋体" w:hint="eastAsia"/>
                <w:sz w:val="24"/>
                <w:szCs w:val="24"/>
              </w:rPr>
            </w:pPr>
            <w:r w:rsidRPr="00E44F70">
              <w:rPr>
                <w:rFonts w:ascii="仿宋_GB2312" w:eastAsia="仿宋_GB2312" w:hAnsi="宋体" w:hint="eastAsia"/>
                <w:sz w:val="24"/>
                <w:szCs w:val="24"/>
              </w:rPr>
              <w:t>披露</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在机构文件中披露承诺细节，以促进实施和沟通，如环境和社会政策、可持续发展政策、部门政策、ESG 报告等。</w:t>
            </w:r>
          </w:p>
        </w:tc>
      </w:tr>
      <w:tr w:rsidR="00D72447" w:rsidRPr="00E44F70">
        <w:trPr>
          <w:jc w:val="center"/>
        </w:trPr>
        <w:tc>
          <w:tcPr>
            <w:tcW w:w="1243"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业务细分</w:t>
            </w: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与煤炭有关的活动</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界定并解释将涉及哪些与煤炭有关的经济活动。</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金融工具</w:t>
            </w:r>
            <w:r w:rsidRPr="00E44F70">
              <w:rPr>
                <w:rFonts w:ascii="仿宋_GB2312" w:eastAsia="仿宋_GB2312" w:hAnsi="宋体" w:hint="eastAsia"/>
                <w:sz w:val="24"/>
                <w:szCs w:val="24"/>
              </w:rPr>
              <w:lastRenderedPageBreak/>
              <w:t>和服务</w:t>
            </w:r>
          </w:p>
        </w:tc>
        <w:tc>
          <w:tcPr>
            <w:tcW w:w="6158" w:type="dxa"/>
            <w:vMerge w:val="restar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lastRenderedPageBreak/>
              <w:t>定义并解释哪些金融工具和服务、业务范围和实体与退出</w:t>
            </w:r>
            <w:r w:rsidRPr="00E44F70">
              <w:rPr>
                <w:rFonts w:ascii="仿宋_GB2312" w:eastAsia="仿宋_GB2312" w:hAnsi="宋体" w:hint="eastAsia"/>
                <w:sz w:val="24"/>
                <w:szCs w:val="24"/>
              </w:rPr>
              <w:lastRenderedPageBreak/>
              <w:t>煤炭融资相关，或为履行退出煤炭融资承诺而必须</w:t>
            </w:r>
            <w:r w:rsidR="00E44F70" w:rsidRPr="00E44F70">
              <w:rPr>
                <w:rFonts w:ascii="仿宋_GB2312" w:eastAsia="仿宋_GB2312" w:hAnsi="宋体" w:hint="eastAsia"/>
                <w:sz w:val="24"/>
                <w:szCs w:val="24"/>
              </w:rPr>
              <w:t>修改</w:t>
            </w:r>
            <w:r w:rsidR="00376C4E" w:rsidRPr="00E44F70">
              <w:rPr>
                <w:rFonts w:ascii="仿宋_GB2312" w:eastAsia="仿宋_GB2312" w:hAnsi="宋体" w:hint="eastAsia"/>
                <w:sz w:val="24"/>
                <w:szCs w:val="24"/>
              </w:rPr>
              <w:t>的</w:t>
            </w:r>
            <w:r w:rsidRPr="00E44F70">
              <w:rPr>
                <w:rFonts w:ascii="仿宋_GB2312" w:eastAsia="仿宋_GB2312" w:hAnsi="宋体" w:hint="eastAsia"/>
                <w:sz w:val="24"/>
                <w:szCs w:val="24"/>
              </w:rPr>
              <w:t>流程</w:t>
            </w:r>
            <w:r w:rsidR="00376C4E" w:rsidRPr="00E44F70">
              <w:rPr>
                <w:rFonts w:ascii="仿宋_GB2312" w:eastAsia="仿宋_GB2312" w:hAnsi="宋体" w:hint="eastAsia"/>
                <w:sz w:val="24"/>
                <w:szCs w:val="24"/>
              </w:rPr>
              <w:t>、</w:t>
            </w:r>
            <w:r w:rsidRPr="00E44F70">
              <w:rPr>
                <w:rFonts w:ascii="仿宋_GB2312" w:eastAsia="仿宋_GB2312" w:hAnsi="宋体" w:hint="eastAsia"/>
                <w:sz w:val="24"/>
                <w:szCs w:val="24"/>
              </w:rPr>
              <w:t>要求。</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业务范围</w:t>
            </w:r>
          </w:p>
        </w:tc>
        <w:tc>
          <w:tcPr>
            <w:tcW w:w="6158" w:type="dxa"/>
            <w:vMerge/>
            <w:vAlign w:val="center"/>
          </w:tcPr>
          <w:p w:rsidR="00D72447" w:rsidRPr="00E44F70" w:rsidRDefault="00D72447">
            <w:pPr>
              <w:rPr>
                <w:rFonts w:ascii="仿宋_GB2312" w:eastAsia="仿宋_GB2312" w:hAnsi="宋体" w:hint="eastAsia"/>
                <w:sz w:val="24"/>
                <w:szCs w:val="24"/>
              </w:rPr>
            </w:pP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相关实体</w:t>
            </w:r>
          </w:p>
        </w:tc>
        <w:tc>
          <w:tcPr>
            <w:tcW w:w="6158" w:type="dxa"/>
            <w:vMerge/>
            <w:vAlign w:val="center"/>
          </w:tcPr>
          <w:p w:rsidR="00D72447" w:rsidRPr="00E44F70" w:rsidRDefault="00D72447">
            <w:pPr>
              <w:rPr>
                <w:rFonts w:ascii="仿宋_GB2312" w:eastAsia="仿宋_GB2312" w:hAnsi="宋体" w:hint="eastAsia"/>
                <w:sz w:val="24"/>
                <w:szCs w:val="24"/>
              </w:rPr>
            </w:pPr>
          </w:p>
        </w:tc>
      </w:tr>
      <w:tr w:rsidR="00D72447" w:rsidRPr="00E44F70">
        <w:trPr>
          <w:jc w:val="center"/>
        </w:trPr>
        <w:tc>
          <w:tcPr>
            <w:tcW w:w="1243"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内部支持</w:t>
            </w: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内部沟通</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将退出煤炭融资的要求传达给相关工作人员，如前台或客户服务团队，以便他们将新的要求和变化告知客户</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能力建设</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组织能力建设和培训，让员工了解煤炭退出的方方面面。受众包括来自战略制定、风险管理、企业融资、客户参与、公共关系、人力资源、监测与评估以及附属实体（包括子公司和海外分支机构）的员工。</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客户沟通与参与</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与新老客户沟通，告知他们煤炭退出带来的变化和额外要求，帮助他们确定可能的</w:t>
            </w:r>
            <w:r w:rsidR="00376C4E" w:rsidRPr="00E44F70">
              <w:rPr>
                <w:rFonts w:ascii="仿宋_GB2312" w:eastAsia="仿宋_GB2312" w:hAnsi="宋体" w:hint="eastAsia"/>
                <w:sz w:val="24"/>
                <w:szCs w:val="24"/>
              </w:rPr>
              <w:t>转型</w:t>
            </w:r>
            <w:r w:rsidRPr="00E44F70">
              <w:rPr>
                <w:rFonts w:ascii="仿宋_GB2312" w:eastAsia="仿宋_GB2312" w:hAnsi="宋体" w:hint="eastAsia"/>
                <w:sz w:val="24"/>
                <w:szCs w:val="24"/>
              </w:rPr>
              <w:t>机会。</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监测和评估</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制定或调整监测和评估煤炭退出进度和绩效的工作程序和指标。</w:t>
            </w:r>
          </w:p>
        </w:tc>
      </w:tr>
      <w:tr w:rsidR="00D72447" w:rsidRPr="00E44F70">
        <w:trPr>
          <w:jc w:val="center"/>
        </w:trPr>
        <w:tc>
          <w:tcPr>
            <w:tcW w:w="1243"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外部</w:t>
            </w:r>
            <w:r w:rsidR="00376C4E" w:rsidRPr="00E44F70">
              <w:rPr>
                <w:rFonts w:ascii="仿宋_GB2312" w:eastAsia="仿宋_GB2312" w:hAnsi="宋体" w:hint="eastAsia"/>
                <w:sz w:val="24"/>
                <w:szCs w:val="24"/>
              </w:rPr>
              <w:t>沟通</w:t>
            </w: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信息披露</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通过媒体渠道披露煤炭退出承诺和进展情况，如年度报告、可持续发展报告、媒体新闻稿等。</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对话</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与不同的利益相关者进行对话</w:t>
            </w:r>
            <w:r w:rsidR="00E44F70" w:rsidRPr="00E44F70">
              <w:rPr>
                <w:rFonts w:ascii="仿宋_GB2312" w:eastAsia="仿宋_GB2312" w:hAnsi="宋体" w:hint="eastAsia"/>
                <w:sz w:val="24"/>
                <w:szCs w:val="24"/>
              </w:rPr>
              <w:t>，如</w:t>
            </w:r>
            <w:r w:rsidRPr="00E44F70">
              <w:rPr>
                <w:rFonts w:ascii="仿宋_GB2312" w:eastAsia="仿宋_GB2312" w:hAnsi="宋体" w:hint="eastAsia"/>
                <w:sz w:val="24"/>
                <w:szCs w:val="24"/>
              </w:rPr>
              <w:t>提供政策解释和技术援助的监管机构和行业专家</w:t>
            </w:r>
            <w:r w:rsidR="00E44F70" w:rsidRPr="00E44F70">
              <w:rPr>
                <w:rFonts w:ascii="仿宋_GB2312" w:eastAsia="仿宋_GB2312" w:hAnsi="宋体" w:hint="eastAsia"/>
                <w:sz w:val="24"/>
                <w:szCs w:val="24"/>
              </w:rPr>
              <w:t>、</w:t>
            </w:r>
            <w:r w:rsidRPr="00E44F70">
              <w:rPr>
                <w:rFonts w:ascii="仿宋_GB2312" w:eastAsia="仿宋_GB2312" w:hAnsi="宋体" w:hint="eastAsia"/>
                <w:sz w:val="24"/>
                <w:szCs w:val="24"/>
              </w:rPr>
              <w:t>分享经验和财政资源的金融同行</w:t>
            </w:r>
            <w:r w:rsidR="00E44F70" w:rsidRPr="00E44F70">
              <w:rPr>
                <w:rFonts w:ascii="仿宋_GB2312" w:eastAsia="仿宋_GB2312" w:hAnsi="宋体" w:hint="eastAsia"/>
                <w:sz w:val="24"/>
                <w:szCs w:val="24"/>
              </w:rPr>
              <w:t>、</w:t>
            </w:r>
            <w:r w:rsidRPr="00E44F70">
              <w:rPr>
                <w:rFonts w:ascii="仿宋_GB2312" w:eastAsia="仿宋_GB2312" w:hAnsi="宋体" w:hint="eastAsia"/>
                <w:sz w:val="24"/>
                <w:szCs w:val="24"/>
              </w:rPr>
              <w:t>提供监督以确保可信度和问责制的股东和社会组织</w:t>
            </w:r>
            <w:r w:rsidR="00E44F70" w:rsidRPr="00E44F70">
              <w:rPr>
                <w:rFonts w:ascii="仿宋_GB2312" w:eastAsia="仿宋_GB2312" w:hAnsi="宋体" w:hint="eastAsia"/>
                <w:sz w:val="24"/>
                <w:szCs w:val="24"/>
              </w:rPr>
              <w:t>、</w:t>
            </w:r>
            <w:r w:rsidRPr="00E44F70">
              <w:rPr>
                <w:rFonts w:ascii="仿宋_GB2312" w:eastAsia="仿宋_GB2312" w:hAnsi="宋体" w:hint="eastAsia"/>
                <w:sz w:val="24"/>
                <w:szCs w:val="24"/>
              </w:rPr>
              <w:t>已经或可能受到煤炭退出影响的团体和社区。</w:t>
            </w:r>
          </w:p>
        </w:tc>
      </w:tr>
      <w:tr w:rsidR="00D72447" w:rsidRPr="00E44F70">
        <w:trPr>
          <w:jc w:val="center"/>
        </w:trPr>
        <w:tc>
          <w:tcPr>
            <w:tcW w:w="1243" w:type="dxa"/>
            <w:vMerge/>
            <w:vAlign w:val="center"/>
          </w:tcPr>
          <w:p w:rsidR="00D72447" w:rsidRPr="00E44F70" w:rsidRDefault="00D72447">
            <w:pPr>
              <w:jc w:val="center"/>
              <w:rPr>
                <w:rFonts w:ascii="仿宋_GB2312" w:eastAsia="仿宋_GB2312" w:hAnsi="宋体" w:hint="eastAsia"/>
                <w:sz w:val="24"/>
                <w:szCs w:val="24"/>
              </w:rPr>
            </w:pPr>
          </w:p>
        </w:tc>
        <w:tc>
          <w:tcPr>
            <w:tcW w:w="1241"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合作伙伴</w:t>
            </w:r>
          </w:p>
        </w:tc>
        <w:tc>
          <w:tcPr>
            <w:tcW w:w="6158"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与气候倡议或机构建立伙伴关系，为银行提供工具包、指导、平台和其他有助于煤炭退出的资源。</w:t>
            </w:r>
          </w:p>
        </w:tc>
      </w:tr>
    </w:tbl>
    <w:p w:rsidR="00D72447" w:rsidRPr="00E44F70" w:rsidRDefault="00D72447">
      <w:pPr>
        <w:rPr>
          <w:rFonts w:ascii="宋体" w:eastAsia="宋体" w:hAnsi="宋体" w:hint="eastAsia"/>
        </w:rPr>
      </w:pPr>
    </w:p>
    <w:p w:rsidR="00D72447" w:rsidRPr="00E44F70" w:rsidRDefault="00000000">
      <w:pPr>
        <w:adjustRightInd w:val="0"/>
        <w:snapToGrid w:val="0"/>
        <w:spacing w:line="600" w:lineRule="exact"/>
        <w:ind w:firstLineChars="200" w:firstLine="602"/>
        <w:rPr>
          <w:rFonts w:ascii="仿宋_GB2312" w:eastAsia="仿宋_GB2312" w:hAnsi="宋体" w:hint="eastAsia"/>
          <w:sz w:val="30"/>
          <w:szCs w:val="30"/>
        </w:rPr>
      </w:pPr>
      <w:r w:rsidRPr="00E44F70">
        <w:rPr>
          <w:rFonts w:ascii="仿宋_GB2312" w:eastAsia="仿宋_GB2312" w:hAnsi="宋体" w:hint="eastAsia"/>
          <w:b/>
          <w:bCs/>
          <w:sz w:val="30"/>
          <w:szCs w:val="30"/>
        </w:rPr>
        <w:t>二是建立优先顺序表。</w:t>
      </w:r>
      <w:r w:rsidRPr="00E44F70">
        <w:rPr>
          <w:rFonts w:ascii="仿宋_GB2312" w:eastAsia="仿宋_GB2312" w:hAnsi="宋体" w:hint="eastAsia"/>
          <w:sz w:val="30"/>
          <w:szCs w:val="30"/>
        </w:rPr>
        <w:t>在银行采取分阶段退出方法时，需要明确内外部因素（见表7）的优先级，其中内部因素包括银行战略和能力的改变，外部因素包括政策、技术、客户和社区需求等等，应根据全球业务具体情况，评估最紧迫、最相关、最可行的退出行动。</w:t>
      </w:r>
    </w:p>
    <w:p w:rsidR="00D72447" w:rsidRPr="00E44F70" w:rsidRDefault="00D72447">
      <w:pPr>
        <w:jc w:val="center"/>
        <w:rPr>
          <w:rFonts w:ascii="仿宋_GB2312" w:eastAsia="仿宋_GB2312" w:hAnsi="宋体" w:hint="eastAsia"/>
          <w:b/>
          <w:bCs/>
          <w:sz w:val="24"/>
          <w:szCs w:val="24"/>
        </w:rPr>
      </w:pPr>
    </w:p>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表7 优先顺序表</w:t>
      </w:r>
    </w:p>
    <w:tbl>
      <w:tblPr>
        <w:tblStyle w:val="af2"/>
        <w:tblW w:w="8784" w:type="dxa"/>
        <w:jc w:val="center"/>
        <w:tblLook w:val="04A0" w:firstRow="1" w:lastRow="0" w:firstColumn="1" w:lastColumn="0" w:noHBand="0" w:noVBand="1"/>
      </w:tblPr>
      <w:tblGrid>
        <w:gridCol w:w="992"/>
        <w:gridCol w:w="1417"/>
        <w:gridCol w:w="6375"/>
      </w:tblGrid>
      <w:tr w:rsidR="00D72447" w:rsidRPr="00E44F70">
        <w:trPr>
          <w:jc w:val="center"/>
        </w:trPr>
        <w:tc>
          <w:tcPr>
            <w:tcW w:w="992"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类别</w:t>
            </w:r>
          </w:p>
        </w:tc>
        <w:tc>
          <w:tcPr>
            <w:tcW w:w="1417"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因素</w:t>
            </w:r>
          </w:p>
        </w:tc>
        <w:tc>
          <w:tcPr>
            <w:tcW w:w="6375" w:type="dxa"/>
            <w:vAlign w:val="center"/>
          </w:tcPr>
          <w:p w:rsidR="00D72447" w:rsidRPr="00E44F70" w:rsidRDefault="00000000">
            <w:pPr>
              <w:jc w:val="center"/>
              <w:rPr>
                <w:rFonts w:ascii="仿宋_GB2312" w:eastAsia="仿宋_GB2312" w:hAnsi="宋体" w:hint="eastAsia"/>
                <w:b/>
                <w:bCs/>
                <w:sz w:val="24"/>
                <w:szCs w:val="24"/>
              </w:rPr>
            </w:pPr>
            <w:r w:rsidRPr="00E44F70">
              <w:rPr>
                <w:rFonts w:ascii="仿宋_GB2312" w:eastAsia="仿宋_GB2312" w:hAnsi="宋体" w:hint="eastAsia"/>
                <w:b/>
                <w:bCs/>
                <w:sz w:val="24"/>
                <w:szCs w:val="24"/>
              </w:rPr>
              <w:t>关注的问题</w:t>
            </w:r>
          </w:p>
        </w:tc>
      </w:tr>
      <w:tr w:rsidR="00D72447" w:rsidRPr="00E44F70">
        <w:trPr>
          <w:jc w:val="center"/>
        </w:trPr>
        <w:tc>
          <w:tcPr>
            <w:tcW w:w="992" w:type="dxa"/>
            <w:vMerge w:val="restart"/>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紧迫性</w:t>
            </w: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气候承诺</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国家气候承诺如何解决煤炭问题？</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如是否承诺不在海外新建煤电厂、限制煤炭消费、投资于煤电厂的提前退役和替换</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政府和投资者的预期</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政府和投资者如何提高对气候和煤炭的期望？</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如是否承诺加强气候风险管理、进行气候披露、核算碳排放量、逐步淘汰高排放资产、增加低碳投资</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政策要求</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现有哪些政策要求，可能会有哪些变化？（鼓励性或限制性）</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如对新项目的限制、现有项目的改造或退出、转型和低碳技术的优惠政策、在允许的行业或股权持有方面的外国投资限</w:t>
            </w:r>
            <w:r w:rsidRPr="00E44F70">
              <w:rPr>
                <w:rFonts w:ascii="仿宋_GB2312" w:eastAsia="仿宋_GB2312" w:hAnsi="宋体" w:hint="eastAsia"/>
                <w:sz w:val="24"/>
                <w:szCs w:val="24"/>
              </w:rPr>
              <w:lastRenderedPageBreak/>
              <w:t>制、更高的环境和社会标准、碳税或碳交易、关税调整、有条件的付款保证</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市场趋势</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哪些市场趋势会影响煤炭相关企业？</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 xml:space="preserve">如新的替代技术、煤炭需求下降、收益降低或成本增加 </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社会因素</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退出煤炭融资的社会动力是什么？</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如非政府组织的压力、受群体和社区影响</w:t>
            </w:r>
          </w:p>
        </w:tc>
      </w:tr>
      <w:tr w:rsidR="00D72447" w:rsidRPr="00E44F70">
        <w:trPr>
          <w:jc w:val="center"/>
        </w:trPr>
        <w:tc>
          <w:tcPr>
            <w:tcW w:w="992"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相关性</w:t>
            </w: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战略</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退出煤炭融资如何与银行的现行战略或新战略保持一致或做出贡献？</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如气候战略、可持续发展战略、部门战略、国家战略</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业务和运营</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退出煤炭融资将如何影响银行的业务和运营，包括传统业务和新兴业务？</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如收入变化、负债变化、资产重新定价和重新分配、管理程序的调整、会计实务调整、调整绩效审查、管理成本增加</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风险管理</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银行面临</w:t>
            </w:r>
            <w:r w:rsidR="00E44F70" w:rsidRPr="00E44F70">
              <w:rPr>
                <w:rFonts w:ascii="仿宋_GB2312" w:eastAsia="仿宋_GB2312" w:hAnsi="宋体" w:hint="eastAsia"/>
                <w:sz w:val="24"/>
                <w:szCs w:val="24"/>
              </w:rPr>
              <w:t>哪些</w:t>
            </w:r>
            <w:r w:rsidRPr="00E44F70">
              <w:rPr>
                <w:rFonts w:ascii="仿宋_GB2312" w:eastAsia="仿宋_GB2312" w:hAnsi="宋体" w:hint="eastAsia"/>
                <w:sz w:val="24"/>
                <w:szCs w:val="24"/>
              </w:rPr>
              <w:t>煤炭风险，如何影响银行的风险状况？</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如气候风险、信贷风险、流动性风险、声誉风险</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影响</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银行如何对客户施加影响，促使煤炭融资发生变化？</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如撤资、加强尽职调查、客户沟通和参与、通过所有权、通过投票权、通过合同义务、参与决策过程、提供建议</w:t>
            </w:r>
          </w:p>
        </w:tc>
      </w:tr>
      <w:tr w:rsidR="00D72447" w:rsidRPr="00E44F70">
        <w:trPr>
          <w:jc w:val="center"/>
        </w:trPr>
        <w:tc>
          <w:tcPr>
            <w:tcW w:w="992" w:type="dxa"/>
            <w:vMerge w:val="restart"/>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可行性</w:t>
            </w: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技术替代品</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是否存在符合巴黎</w:t>
            </w:r>
            <w:r w:rsidR="00E44F70" w:rsidRPr="00E44F70">
              <w:rPr>
                <w:rFonts w:ascii="仿宋_GB2312" w:eastAsia="仿宋_GB2312" w:hAnsi="宋体" w:hint="eastAsia"/>
                <w:sz w:val="24"/>
                <w:szCs w:val="24"/>
              </w:rPr>
              <w:t>协定</w:t>
            </w:r>
            <w:r w:rsidRPr="00E44F70">
              <w:rPr>
                <w:rFonts w:ascii="仿宋_GB2312" w:eastAsia="仿宋_GB2312" w:hAnsi="宋体" w:hint="eastAsia"/>
                <w:sz w:val="24"/>
                <w:szCs w:val="24"/>
              </w:rPr>
              <w:t>且具有成本效益的煤炭替代品？</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数据和信息</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设计和实施退出煤炭融资需要哪些数据和信息？</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如向客户提出新要求、向数据提供者购买信息、与非政府组织合作、寻求其他衡量标准和数据集</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财政资源</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是否有财政资源确保退出煤炭融资的可行性？</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如信用增级机制、额外创收</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人员和专业知识</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银行是否拥有实施退出煤炭融资的人员和专业知识，是否需要建立这种能力？</w:t>
            </w:r>
          </w:p>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如外部专家、内部能力建设、与气候倡议合作、与行业协会合作、与非政府组织合作</w:t>
            </w:r>
          </w:p>
        </w:tc>
      </w:tr>
      <w:tr w:rsidR="00D72447" w:rsidRPr="00E44F70">
        <w:trPr>
          <w:jc w:val="center"/>
        </w:trPr>
        <w:tc>
          <w:tcPr>
            <w:tcW w:w="992" w:type="dxa"/>
            <w:vMerge/>
            <w:vAlign w:val="center"/>
          </w:tcPr>
          <w:p w:rsidR="00D72447" w:rsidRPr="00E44F70" w:rsidRDefault="00D72447">
            <w:pPr>
              <w:jc w:val="center"/>
              <w:rPr>
                <w:rFonts w:ascii="仿宋_GB2312" w:eastAsia="仿宋_GB2312" w:hAnsi="宋体" w:hint="eastAsia"/>
                <w:sz w:val="24"/>
                <w:szCs w:val="24"/>
              </w:rPr>
            </w:pPr>
          </w:p>
        </w:tc>
        <w:tc>
          <w:tcPr>
            <w:tcW w:w="1417" w:type="dxa"/>
            <w:vAlign w:val="center"/>
          </w:tcPr>
          <w:p w:rsidR="00D72447" w:rsidRPr="00E44F70" w:rsidRDefault="00000000">
            <w:pPr>
              <w:jc w:val="center"/>
              <w:rPr>
                <w:rFonts w:ascii="仿宋_GB2312" w:eastAsia="仿宋_GB2312" w:hAnsi="宋体" w:hint="eastAsia"/>
                <w:sz w:val="24"/>
                <w:szCs w:val="24"/>
              </w:rPr>
            </w:pPr>
            <w:r w:rsidRPr="00E44F70">
              <w:rPr>
                <w:rFonts w:ascii="仿宋_GB2312" w:eastAsia="仿宋_GB2312" w:hAnsi="宋体" w:hint="eastAsia"/>
                <w:sz w:val="24"/>
                <w:szCs w:val="24"/>
              </w:rPr>
              <w:t>外部参考</w:t>
            </w:r>
          </w:p>
        </w:tc>
        <w:tc>
          <w:tcPr>
            <w:tcW w:w="6375" w:type="dxa"/>
            <w:vAlign w:val="center"/>
          </w:tcPr>
          <w:p w:rsidR="00D72447" w:rsidRPr="00E44F70" w:rsidRDefault="00000000">
            <w:pPr>
              <w:rPr>
                <w:rFonts w:ascii="仿宋_GB2312" w:eastAsia="仿宋_GB2312" w:hAnsi="宋体" w:hint="eastAsia"/>
                <w:sz w:val="24"/>
                <w:szCs w:val="24"/>
              </w:rPr>
            </w:pPr>
            <w:r w:rsidRPr="00E44F70">
              <w:rPr>
                <w:rFonts w:ascii="仿宋_GB2312" w:eastAsia="仿宋_GB2312" w:hAnsi="宋体" w:hint="eastAsia"/>
                <w:sz w:val="24"/>
                <w:szCs w:val="24"/>
              </w:rPr>
              <w:t>同行、行业协会或提供外部监督的组织是否提供了好的或坏的经验或实例，为退出煤炭融资提供参考？</w:t>
            </w:r>
          </w:p>
        </w:tc>
      </w:tr>
    </w:tbl>
    <w:p w:rsidR="00D72447" w:rsidRPr="00E44F70" w:rsidRDefault="00D72447">
      <w:pPr>
        <w:jc w:val="center"/>
        <w:rPr>
          <w:rFonts w:ascii="宋体" w:eastAsia="宋体" w:hAnsi="宋体" w:hint="eastAsia"/>
        </w:rPr>
      </w:pPr>
    </w:p>
    <w:p w:rsidR="00D72447" w:rsidRPr="00E44F70" w:rsidRDefault="00000000">
      <w:pPr>
        <w:adjustRightInd w:val="0"/>
        <w:snapToGrid w:val="0"/>
        <w:spacing w:line="600" w:lineRule="exact"/>
        <w:ind w:firstLineChars="200" w:firstLine="602"/>
        <w:rPr>
          <w:rFonts w:ascii="仿宋_GB2312" w:eastAsia="仿宋_GB2312" w:hAnsi="宋体" w:hint="eastAsia"/>
          <w:sz w:val="30"/>
          <w:szCs w:val="30"/>
        </w:rPr>
      </w:pPr>
      <w:r w:rsidRPr="00E44F70">
        <w:rPr>
          <w:rFonts w:ascii="仿宋_GB2312" w:eastAsia="仿宋_GB2312" w:hAnsi="宋体" w:hint="eastAsia"/>
          <w:b/>
          <w:bCs/>
          <w:sz w:val="30"/>
          <w:szCs w:val="30"/>
        </w:rPr>
        <w:t>三是在项目、公司和投资组合层面细化退出煤炭融资的具体指标。</w:t>
      </w:r>
      <w:r w:rsidRPr="00E44F70">
        <w:rPr>
          <w:rFonts w:ascii="仿宋_GB2312" w:eastAsia="仿宋_GB2312" w:hAnsi="宋体" w:hint="eastAsia"/>
          <w:sz w:val="30"/>
          <w:szCs w:val="30"/>
        </w:rPr>
        <w:t>其中项目和公司指标可用于筛选撤资项目或发现转型机会，帮助评估绩效，影响融资决策；投资组合指标有助于管理层评估进展情况，优化融资安排。</w:t>
      </w:r>
    </w:p>
    <w:p w:rsidR="00D72447" w:rsidRPr="00E44F70" w:rsidRDefault="00000000">
      <w:pPr>
        <w:adjustRightInd w:val="0"/>
        <w:snapToGrid w:val="0"/>
        <w:spacing w:line="600" w:lineRule="exact"/>
        <w:ind w:firstLineChars="200" w:firstLine="600"/>
        <w:rPr>
          <w:rFonts w:ascii="黑体" w:eastAsia="黑体" w:hAnsi="黑体" w:hint="eastAsia"/>
          <w:sz w:val="30"/>
          <w:szCs w:val="30"/>
        </w:rPr>
      </w:pPr>
      <w:r w:rsidRPr="00E44F70">
        <w:rPr>
          <w:rFonts w:ascii="黑体" w:eastAsia="黑体" w:hAnsi="黑体" w:hint="eastAsia"/>
          <w:sz w:val="30"/>
          <w:szCs w:val="30"/>
        </w:rPr>
        <w:t>三、启示</w:t>
      </w: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（一）构建煤炭业务全周期风控体系，强化转型能力建设，</w:t>
      </w:r>
      <w:r w:rsidRPr="00E44F70">
        <w:rPr>
          <w:rFonts w:ascii="仿宋_GB2312" w:eastAsia="仿宋_GB2312" w:hAnsi="宋体" w:hint="eastAsia"/>
          <w:b/>
          <w:bCs/>
          <w:sz w:val="30"/>
          <w:szCs w:val="30"/>
        </w:rPr>
        <w:lastRenderedPageBreak/>
        <w:t>建立透明化沟通机制。</w:t>
      </w:r>
    </w:p>
    <w:p w:rsidR="00D72447" w:rsidRPr="00E44F70" w:rsidRDefault="00000000">
      <w:pPr>
        <w:adjustRightInd w:val="0"/>
        <w:snapToGrid w:val="0"/>
        <w:spacing w:line="600" w:lineRule="exact"/>
        <w:ind w:firstLineChars="200" w:firstLine="600"/>
        <w:rPr>
          <w:rFonts w:ascii="仿宋_GB2312" w:eastAsia="仿宋_GB2312" w:hAnsi="宋体" w:hint="eastAsia"/>
          <w:b/>
          <w:bCs/>
          <w:sz w:val="30"/>
          <w:szCs w:val="30"/>
        </w:rPr>
      </w:pPr>
      <w:r w:rsidRPr="00E44F70">
        <w:rPr>
          <w:rFonts w:ascii="仿宋_GB2312" w:eastAsia="仿宋_GB2312" w:hAnsi="宋体" w:hint="eastAsia"/>
          <w:sz w:val="30"/>
          <w:szCs w:val="30"/>
        </w:rPr>
        <w:t>中资银行需建立覆盖项目筛选、风险评估、退出管理的全流程管控机制，遵守“不在海外新建煤电厂”的承诺，严控煤炭项目风险敞口。在能力建设层面，应设立专项培训基金，培育具备能源经济建模、碳资产核算、ESG尽调等复合型技能的人才梯队，通过数字化平台实现利益相关方诉求的实时监测与响应。退出路径设计需遵循差异化原则，同步建立多边对话机制定期披露转型进展。</w:t>
      </w: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（二）搭建转型金融生态圈，深化产融协同与国际合作。</w:t>
      </w: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依托在传统能源领域积累的客户网络，中资银行可联合同业银行与多边开发金融机构等建立转型融资框架，从技术可行性、减排路径、社会影响等维度筛选优质转型项目，把握转型窗口期，为转型项目和客户提供资金支持。如可借鉴渣打银行公正转型框架，探索“煤电退役+光伏基建”捆绑融资模式，联合亚投行设立专项担保基金降低融资成本。同时，中资银行可以主动参与“格拉斯哥净零金融联盟”等国际平台，推动制定包含碳排放强度阈值、劳工安置条款的转型金融标准。</w:t>
      </w:r>
    </w:p>
    <w:p w:rsidR="00D72447" w:rsidRPr="00E44F70" w:rsidRDefault="00000000">
      <w:pPr>
        <w:adjustRightInd w:val="0"/>
        <w:snapToGrid w:val="0"/>
        <w:spacing w:line="600" w:lineRule="exact"/>
        <w:ind w:firstLineChars="200" w:firstLine="602"/>
        <w:rPr>
          <w:rFonts w:ascii="仿宋_GB2312" w:eastAsia="仿宋_GB2312" w:hAnsi="宋体" w:hint="eastAsia"/>
          <w:b/>
          <w:bCs/>
          <w:sz w:val="30"/>
          <w:szCs w:val="30"/>
        </w:rPr>
      </w:pPr>
      <w:r w:rsidRPr="00E44F70">
        <w:rPr>
          <w:rFonts w:ascii="仿宋_GB2312" w:eastAsia="仿宋_GB2312" w:hAnsi="宋体" w:hint="eastAsia"/>
          <w:b/>
          <w:bCs/>
          <w:sz w:val="30"/>
          <w:szCs w:val="30"/>
        </w:rPr>
        <w:t>（三）完善动态监测指标体系确保持续性退出进程严格性，为战略决策提供动态反馈。</w:t>
      </w:r>
    </w:p>
    <w:p w:rsidR="00D72447" w:rsidRPr="00E44F70" w:rsidRDefault="00000000">
      <w:pPr>
        <w:adjustRightInd w:val="0"/>
        <w:snapToGrid w:val="0"/>
        <w:spacing w:line="600" w:lineRule="exact"/>
        <w:ind w:firstLineChars="200" w:firstLine="600"/>
        <w:rPr>
          <w:rFonts w:ascii="仿宋_GB2312" w:eastAsia="仿宋_GB2312" w:hAnsi="宋体" w:hint="eastAsia"/>
          <w:sz w:val="30"/>
          <w:szCs w:val="30"/>
        </w:rPr>
      </w:pPr>
      <w:r w:rsidRPr="00E44F70">
        <w:rPr>
          <w:rFonts w:ascii="仿宋_GB2312" w:eastAsia="仿宋_GB2312" w:hAnsi="宋体" w:hint="eastAsia"/>
          <w:sz w:val="30"/>
          <w:szCs w:val="30"/>
        </w:rPr>
        <w:t>中资银行可通过借鉴国际指标设定经验优化煤电退出指标体系，助力实现国内“双碳目标”与国际气候承诺的有机统一。如建立三级量化评估体系，包含过程性（如年度煤电信贷收缩率、转型金融产品占比）、结果性（如减少碳排放当量、再就业岗位</w:t>
      </w:r>
      <w:r w:rsidRPr="00E44F70">
        <w:rPr>
          <w:rFonts w:ascii="仿宋_GB2312" w:eastAsia="仿宋_GB2312" w:hAnsi="宋体" w:hint="eastAsia"/>
          <w:sz w:val="30"/>
          <w:szCs w:val="30"/>
        </w:rPr>
        <w:lastRenderedPageBreak/>
        <w:t>创造数）、政策协同性（如NDC</w:t>
      </w:r>
      <w:r w:rsidRPr="00E44F70">
        <w:rPr>
          <w:rStyle w:val="af5"/>
          <w:rFonts w:ascii="仿宋_GB2312" w:eastAsia="仿宋_GB2312" w:hAnsi="宋体" w:hint="eastAsia"/>
          <w:sz w:val="30"/>
          <w:szCs w:val="30"/>
        </w:rPr>
        <w:footnoteReference w:id="2"/>
      </w:r>
      <w:r w:rsidRPr="00E44F70">
        <w:rPr>
          <w:rFonts w:ascii="仿宋_GB2312" w:eastAsia="仿宋_GB2312" w:hAnsi="宋体" w:hint="eastAsia"/>
          <w:sz w:val="30"/>
          <w:szCs w:val="30"/>
        </w:rPr>
        <w:t>目标达成贡献度）等指标；还可以通过接入全球煤炭撤资清单（Global Coal Exit List）实现公司和项目层面碳排放数据的抓取与校验。运用情景分析法模拟不同退煤节奏对资产质量的影响，定期发布《能源转型压力测试报告》，为监管层提供碳定价敏感度、气候物理风险等关键参数的决策支持。</w:t>
      </w:r>
    </w:p>
    <w:p w:rsidR="00D72447" w:rsidRPr="00E44F70" w:rsidRDefault="00D72447">
      <w:pPr>
        <w:adjustRightInd w:val="0"/>
        <w:snapToGrid w:val="0"/>
        <w:spacing w:line="600" w:lineRule="exact"/>
        <w:ind w:firstLineChars="200" w:firstLine="600"/>
        <w:rPr>
          <w:rFonts w:ascii="仿宋_GB2312" w:eastAsia="仿宋_GB2312" w:hAnsi="宋体" w:hint="eastAsia"/>
          <w:sz w:val="30"/>
          <w:szCs w:val="30"/>
        </w:rPr>
      </w:pPr>
    </w:p>
    <w:p w:rsidR="00D72447" w:rsidRDefault="00000000">
      <w:pPr>
        <w:adjustRightInd w:val="0"/>
        <w:snapToGrid w:val="0"/>
        <w:spacing w:line="600" w:lineRule="exact"/>
        <w:ind w:firstLineChars="200" w:firstLine="600"/>
        <w:jc w:val="right"/>
        <w:rPr>
          <w:rFonts w:ascii="仿宋_GB2312" w:eastAsia="仿宋_GB2312" w:hAnsi="宋体" w:hint="eastAsia"/>
          <w:sz w:val="30"/>
          <w:szCs w:val="30"/>
        </w:rPr>
      </w:pPr>
      <w:r w:rsidRPr="00E44F70">
        <w:rPr>
          <w:rFonts w:ascii="仿宋_GB2312" w:eastAsia="仿宋_GB2312" w:hAnsi="宋体" w:hint="eastAsia"/>
          <w:sz w:val="30"/>
          <w:szCs w:val="30"/>
        </w:rPr>
        <w:t>常德市分行 欧阳岑炫</w:t>
      </w:r>
    </w:p>
    <w:sectPr w:rsidR="00D724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6D0B" w:rsidRDefault="00866D0B">
      <w:pPr>
        <w:rPr>
          <w:rFonts w:hint="eastAsia"/>
        </w:rPr>
      </w:pPr>
      <w:r>
        <w:separator/>
      </w:r>
    </w:p>
  </w:endnote>
  <w:endnote w:type="continuationSeparator" w:id="0">
    <w:p w:rsidR="00866D0B" w:rsidRDefault="00866D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cumin Pro Condensed Light">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6D0B" w:rsidRDefault="00866D0B">
      <w:pPr>
        <w:rPr>
          <w:rFonts w:hint="eastAsia"/>
        </w:rPr>
      </w:pPr>
      <w:r>
        <w:separator/>
      </w:r>
    </w:p>
  </w:footnote>
  <w:footnote w:type="continuationSeparator" w:id="0">
    <w:p w:rsidR="00866D0B" w:rsidRDefault="00866D0B">
      <w:pPr>
        <w:rPr>
          <w:rFonts w:hint="eastAsia"/>
        </w:rPr>
      </w:pPr>
      <w:r>
        <w:continuationSeparator/>
      </w:r>
    </w:p>
  </w:footnote>
  <w:footnote w:id="1">
    <w:p w:rsidR="00D72447" w:rsidRDefault="00000000">
      <w:pPr>
        <w:pStyle w:val="af3"/>
        <w:rPr>
          <w:rFonts w:hint="eastAsia"/>
        </w:rPr>
      </w:pPr>
      <w:r>
        <w:rPr>
          <w:rStyle w:val="af5"/>
          <w:rFonts w:hint="eastAsia"/>
        </w:rPr>
        <w:footnoteRef/>
      </w:r>
      <w:r>
        <w:rPr>
          <w:rFonts w:hint="eastAsia"/>
        </w:rPr>
        <w:t xml:space="preserve"> </w:t>
      </w:r>
      <w:r>
        <w:rPr>
          <w:rFonts w:ascii="宋体" w:eastAsia="宋体" w:hAnsi="宋体" w:hint="eastAsia"/>
          <w:sz w:val="24"/>
          <w:szCs w:val="24"/>
        </w:rPr>
        <w:t>World Resources Institute.</w:t>
      </w:r>
      <w:r>
        <w:rPr>
          <w:rFonts w:hint="eastAsia"/>
        </w:rPr>
        <w:t xml:space="preserve"> </w:t>
      </w:r>
      <w:r>
        <w:rPr>
          <w:rFonts w:ascii="宋体" w:eastAsia="宋体" w:hAnsi="宋体" w:hint="eastAsia"/>
          <w:sz w:val="24"/>
          <w:szCs w:val="24"/>
        </w:rPr>
        <w:t>Unloading coal exposure: Where are we and what can Chinese banks do? 2024.12.31 https://www.wri.org/research/unloading-coal-exposure-where-are-we-and-what-can-chinese-banks-do</w:t>
      </w:r>
    </w:p>
  </w:footnote>
  <w:footnote w:id="2">
    <w:p w:rsidR="00D72447" w:rsidRDefault="00000000">
      <w:pPr>
        <w:pStyle w:val="af3"/>
        <w:rPr>
          <w:rFonts w:hint="eastAsia"/>
        </w:rPr>
      </w:pPr>
      <w:r>
        <w:rPr>
          <w:rStyle w:val="af5"/>
          <w:rFonts w:hint="eastAsia"/>
        </w:rPr>
        <w:footnoteRef/>
      </w:r>
      <w:r>
        <w:rPr>
          <w:rFonts w:hint="eastAsia"/>
        </w:rPr>
        <w:t xml:space="preserve"> </w:t>
      </w:r>
      <w:r>
        <w:rPr>
          <w:rFonts w:ascii="宋体" w:eastAsia="宋体" w:hAnsi="宋体" w:hint="eastAsia"/>
          <w:sz w:val="24"/>
          <w:szCs w:val="24"/>
        </w:rPr>
        <w:t>NDC（Nationally Determined Contributions，国家自主贡献）是《巴黎协定》的核心内容，指各国根据自身国情和发展阶段制定的应对气候变化的行动目标和计划，包括温室气体减排目标、适应气候变化的措施以及实施策略和时间表。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D35EE"/>
    <w:multiLevelType w:val="hybridMultilevel"/>
    <w:tmpl w:val="197030A0"/>
    <w:lvl w:ilvl="0" w:tplc="DDA8F590">
      <w:start w:val="1"/>
      <w:numFmt w:val="bullet"/>
      <w:lvlText w:val="■"/>
      <w:lvlJc w:val="left"/>
      <w:pPr>
        <w:ind w:left="205" w:hanging="91"/>
      </w:pPr>
      <w:rPr>
        <w:rFonts w:ascii="Acumin Pro Condensed Light" w:eastAsia="Acumin Pro Condensed Light" w:hAnsi="Acumin Pro Condensed Light" w:cs="Acumin Pro Condensed Light" w:hint="default"/>
        <w:b w:val="0"/>
        <w:bCs w:val="0"/>
        <w:i w:val="0"/>
        <w:iCs w:val="0"/>
        <w:color w:val="191818"/>
        <w:spacing w:val="0"/>
        <w:w w:val="100"/>
        <w:sz w:val="20"/>
        <w:szCs w:val="20"/>
        <w:lang w:val="en-US" w:eastAsia="en-US" w:bidi="ar-SA"/>
      </w:rPr>
    </w:lvl>
    <w:lvl w:ilvl="1" w:tplc="150CC622">
      <w:start w:val="1"/>
      <w:numFmt w:val="bullet"/>
      <w:lvlText w:val="•"/>
      <w:lvlJc w:val="left"/>
      <w:pPr>
        <w:ind w:left="768" w:hanging="91"/>
      </w:pPr>
      <w:rPr>
        <w:lang w:val="en-US" w:eastAsia="en-US" w:bidi="ar-SA"/>
      </w:rPr>
    </w:lvl>
    <w:lvl w:ilvl="2" w:tplc="A246CF20">
      <w:start w:val="1"/>
      <w:numFmt w:val="bullet"/>
      <w:lvlText w:val="•"/>
      <w:lvlJc w:val="left"/>
      <w:pPr>
        <w:ind w:left="1337" w:hanging="91"/>
      </w:pPr>
      <w:rPr>
        <w:lang w:val="en-US" w:eastAsia="en-US" w:bidi="ar-SA"/>
      </w:rPr>
    </w:lvl>
    <w:lvl w:ilvl="3" w:tplc="9D763E86">
      <w:start w:val="1"/>
      <w:numFmt w:val="bullet"/>
      <w:lvlText w:val="•"/>
      <w:lvlJc w:val="left"/>
      <w:pPr>
        <w:ind w:left="1906" w:hanging="91"/>
      </w:pPr>
      <w:rPr>
        <w:lang w:val="en-US" w:eastAsia="en-US" w:bidi="ar-SA"/>
      </w:rPr>
    </w:lvl>
    <w:lvl w:ilvl="4" w:tplc="1C286E68">
      <w:start w:val="1"/>
      <w:numFmt w:val="bullet"/>
      <w:lvlText w:val="•"/>
      <w:lvlJc w:val="left"/>
      <w:pPr>
        <w:ind w:left="2474" w:hanging="91"/>
      </w:pPr>
      <w:rPr>
        <w:lang w:val="en-US" w:eastAsia="en-US" w:bidi="ar-SA"/>
      </w:rPr>
    </w:lvl>
    <w:lvl w:ilvl="5" w:tplc="EA2AF87E">
      <w:start w:val="1"/>
      <w:numFmt w:val="bullet"/>
      <w:lvlText w:val="•"/>
      <w:lvlJc w:val="left"/>
      <w:pPr>
        <w:ind w:left="3043" w:hanging="91"/>
      </w:pPr>
      <w:rPr>
        <w:lang w:val="en-US" w:eastAsia="en-US" w:bidi="ar-SA"/>
      </w:rPr>
    </w:lvl>
    <w:lvl w:ilvl="6" w:tplc="85DE31DA">
      <w:start w:val="1"/>
      <w:numFmt w:val="bullet"/>
      <w:lvlText w:val="•"/>
      <w:lvlJc w:val="left"/>
      <w:pPr>
        <w:ind w:left="3612" w:hanging="91"/>
      </w:pPr>
      <w:rPr>
        <w:lang w:val="en-US" w:eastAsia="en-US" w:bidi="ar-SA"/>
      </w:rPr>
    </w:lvl>
    <w:lvl w:ilvl="7" w:tplc="C438482E">
      <w:start w:val="1"/>
      <w:numFmt w:val="bullet"/>
      <w:lvlText w:val="•"/>
      <w:lvlJc w:val="left"/>
      <w:pPr>
        <w:ind w:left="4180" w:hanging="91"/>
      </w:pPr>
      <w:rPr>
        <w:lang w:val="en-US" w:eastAsia="en-US" w:bidi="ar-SA"/>
      </w:rPr>
    </w:lvl>
    <w:lvl w:ilvl="8" w:tplc="84843914">
      <w:start w:val="1"/>
      <w:numFmt w:val="bullet"/>
      <w:lvlText w:val="•"/>
      <w:lvlJc w:val="left"/>
      <w:pPr>
        <w:ind w:left="4749" w:hanging="91"/>
      </w:pPr>
      <w:rPr>
        <w:lang w:val="en-US" w:eastAsia="en-US" w:bidi="ar-SA"/>
      </w:rPr>
    </w:lvl>
  </w:abstractNum>
  <w:num w:numId="1" w16cid:durableId="159948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447"/>
    <w:rsid w:val="00081678"/>
    <w:rsid w:val="0019517F"/>
    <w:rsid w:val="00376C4E"/>
    <w:rsid w:val="00386A1B"/>
    <w:rsid w:val="003D4E6D"/>
    <w:rsid w:val="005B5187"/>
    <w:rsid w:val="00866D0B"/>
    <w:rsid w:val="00D72447"/>
    <w:rsid w:val="00E44F70"/>
    <w:rsid w:val="00F11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59B4"/>
  <w15:docId w15:val="{C1474BA6-251D-49A8-A0CE-EBDE22A9C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olor w:val="2F5496"/>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等线 Light" w:eastAsia="等线 Light" w:hAnsi="等线 Light"/>
      <w:color w:val="2F5496"/>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pPr>
      <w:keepNext/>
      <w:keepLines/>
      <w:spacing w:before="80" w:after="40"/>
      <w:outlineLvl w:val="4"/>
    </w:pPr>
    <w:rPr>
      <w:color w:val="2F5496"/>
      <w:sz w:val="24"/>
      <w:szCs w:val="24"/>
    </w:rPr>
  </w:style>
  <w:style w:type="paragraph" w:styleId="6">
    <w:name w:val="heading 6"/>
    <w:basedOn w:val="a"/>
    <w:next w:val="a"/>
    <w:link w:val="60"/>
    <w:uiPriority w:val="9"/>
    <w:semiHidden/>
    <w:unhideWhenUsed/>
    <w:qFormat/>
    <w:pPr>
      <w:keepNext/>
      <w:keepLines/>
      <w:spacing w:before="40"/>
      <w:outlineLvl w:val="5"/>
    </w:pPr>
    <w:rPr>
      <w:b/>
      <w:bCs/>
      <w:color w:val="2F5496"/>
    </w:rPr>
  </w:style>
  <w:style w:type="paragraph" w:styleId="7">
    <w:name w:val="heading 7"/>
    <w:basedOn w:val="a"/>
    <w:next w:val="a"/>
    <w:link w:val="70"/>
    <w:uiPriority w:val="9"/>
    <w:qFormat/>
    <w:pPr>
      <w:keepNext/>
      <w:keepLines/>
      <w:spacing w:before="40"/>
      <w:outlineLvl w:val="6"/>
    </w:pPr>
    <w:rPr>
      <w:b/>
      <w:bCs/>
      <w:color w:val="595959"/>
    </w:rPr>
  </w:style>
  <w:style w:type="paragraph" w:styleId="8">
    <w:name w:val="heading 8"/>
    <w:basedOn w:val="a"/>
    <w:next w:val="a"/>
    <w:link w:val="80"/>
    <w:uiPriority w:val="9"/>
    <w:qFormat/>
    <w:pPr>
      <w:keepNext/>
      <w:keepLines/>
      <w:outlineLvl w:val="7"/>
    </w:pPr>
    <w:rPr>
      <w:color w:val="595959"/>
    </w:rPr>
  </w:style>
  <w:style w:type="paragraph" w:styleId="9">
    <w:name w:val="heading 9"/>
    <w:basedOn w:val="a"/>
    <w:next w:val="a"/>
    <w:link w:val="90"/>
    <w:uiPriority w:val="9"/>
    <w:qFormat/>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等线 Light" w:eastAsia="等线 Light" w:hAnsi="等线 Light" w:cs="宋体"/>
      <w:color w:val="2F5496"/>
      <w:sz w:val="48"/>
      <w:szCs w:val="48"/>
    </w:rPr>
  </w:style>
  <w:style w:type="character" w:customStyle="1" w:styleId="20">
    <w:name w:val="标题 2 字符"/>
    <w:basedOn w:val="a0"/>
    <w:link w:val="2"/>
    <w:uiPriority w:val="9"/>
    <w:rPr>
      <w:rFonts w:ascii="等线 Light" w:eastAsia="等线 Light" w:hAnsi="等线 Light" w:cs="宋体"/>
      <w:color w:val="2F5496"/>
      <w:sz w:val="40"/>
      <w:szCs w:val="40"/>
    </w:rPr>
  </w:style>
  <w:style w:type="character" w:customStyle="1" w:styleId="30">
    <w:name w:val="标题 3 字符"/>
    <w:basedOn w:val="a0"/>
    <w:link w:val="3"/>
    <w:uiPriority w:val="9"/>
    <w:rPr>
      <w:rFonts w:ascii="等线 Light" w:eastAsia="等线 Light" w:hAnsi="等线 Light" w:cs="宋体"/>
      <w:color w:val="2F5496"/>
      <w:sz w:val="32"/>
      <w:szCs w:val="32"/>
    </w:rPr>
  </w:style>
  <w:style w:type="character" w:customStyle="1" w:styleId="40">
    <w:name w:val="标题 4 字符"/>
    <w:basedOn w:val="a0"/>
    <w:link w:val="4"/>
    <w:uiPriority w:val="9"/>
    <w:rPr>
      <w:rFonts w:cs="宋体"/>
      <w:color w:val="2F5496"/>
      <w:sz w:val="28"/>
      <w:szCs w:val="28"/>
    </w:rPr>
  </w:style>
  <w:style w:type="character" w:customStyle="1" w:styleId="50">
    <w:name w:val="标题 5 字符"/>
    <w:basedOn w:val="a0"/>
    <w:link w:val="5"/>
    <w:uiPriority w:val="9"/>
    <w:rPr>
      <w:rFonts w:cs="宋体"/>
      <w:color w:val="2F5496"/>
      <w:sz w:val="24"/>
      <w:szCs w:val="24"/>
    </w:rPr>
  </w:style>
  <w:style w:type="character" w:customStyle="1" w:styleId="60">
    <w:name w:val="标题 6 字符"/>
    <w:basedOn w:val="a0"/>
    <w:link w:val="6"/>
    <w:uiPriority w:val="9"/>
    <w:rPr>
      <w:rFonts w:cs="宋体"/>
      <w:b/>
      <w:bCs/>
      <w:color w:val="2F5496"/>
    </w:rPr>
  </w:style>
  <w:style w:type="character" w:customStyle="1" w:styleId="70">
    <w:name w:val="标题 7 字符"/>
    <w:basedOn w:val="a0"/>
    <w:link w:val="7"/>
    <w:uiPriority w:val="9"/>
    <w:rPr>
      <w:rFonts w:cs="宋体"/>
      <w:b/>
      <w:bCs/>
      <w:color w:val="595959"/>
    </w:rPr>
  </w:style>
  <w:style w:type="character" w:customStyle="1" w:styleId="80">
    <w:name w:val="标题 8 字符"/>
    <w:basedOn w:val="a0"/>
    <w:link w:val="8"/>
    <w:uiPriority w:val="9"/>
    <w:rPr>
      <w:rFonts w:cs="宋体"/>
      <w:color w:val="595959"/>
    </w:rPr>
  </w:style>
  <w:style w:type="character" w:customStyle="1" w:styleId="90">
    <w:name w:val="标题 9 字符"/>
    <w:basedOn w:val="a0"/>
    <w:link w:val="9"/>
    <w:uiPriority w:val="9"/>
    <w:rPr>
      <w:rFonts w:eastAsia="等线 Light" w:cs="宋体"/>
      <w:color w:val="595959"/>
    </w:rPr>
  </w:style>
  <w:style w:type="paragraph" w:styleId="a3">
    <w:name w:val="Title"/>
    <w:basedOn w:val="a"/>
    <w:next w:val="a"/>
    <w:link w:val="a4"/>
    <w:uiPriority w:val="10"/>
    <w:qFormat/>
    <w:pPr>
      <w:spacing w:after="80"/>
      <w:contextualSpacing/>
      <w:jc w:val="center"/>
    </w:pPr>
    <w:rPr>
      <w:rFonts w:ascii="等线 Light" w:eastAsia="等线 Light" w:hAnsi="等线 Light"/>
      <w:spacing w:val="-10"/>
      <w:kern w:val="28"/>
      <w:sz w:val="56"/>
      <w:szCs w:val="56"/>
    </w:rPr>
  </w:style>
  <w:style w:type="character" w:customStyle="1" w:styleId="a4">
    <w:name w:val="标题 字符"/>
    <w:basedOn w:val="a0"/>
    <w:link w:val="a3"/>
    <w:uiPriority w:val="10"/>
    <w:rPr>
      <w:rFonts w:ascii="等线 Light" w:eastAsia="等线 Light" w:hAnsi="等线 Light" w:cs="宋体"/>
      <w:spacing w:val="-10"/>
      <w:kern w:val="28"/>
      <w:sz w:val="56"/>
      <w:szCs w:val="56"/>
    </w:rPr>
  </w:style>
  <w:style w:type="paragraph" w:styleId="a5">
    <w:name w:val="Subtitle"/>
    <w:basedOn w:val="a"/>
    <w:next w:val="a"/>
    <w:link w:val="a6"/>
    <w:uiPriority w:val="11"/>
    <w:qFormat/>
    <w:pPr>
      <w:numPr>
        <w:ilvl w:val="1"/>
      </w:numPr>
      <w:spacing w:after="160"/>
      <w:jc w:val="center"/>
    </w:pPr>
    <w:rPr>
      <w:rFonts w:ascii="等线 Light" w:eastAsia="等线 Light" w:hAnsi="等线 Light"/>
      <w:color w:val="595959"/>
      <w:spacing w:val="15"/>
      <w:sz w:val="28"/>
      <w:szCs w:val="28"/>
    </w:rPr>
  </w:style>
  <w:style w:type="character" w:customStyle="1" w:styleId="a6">
    <w:name w:val="副标题 字符"/>
    <w:basedOn w:val="a0"/>
    <w:link w:val="a5"/>
    <w:uiPriority w:val="11"/>
    <w:rPr>
      <w:rFonts w:ascii="等线 Light" w:eastAsia="等线 Light" w:hAnsi="等线 Light" w:cs="宋体"/>
      <w:color w:val="595959"/>
      <w:spacing w:val="15"/>
      <w:sz w:val="28"/>
      <w:szCs w:val="28"/>
    </w:rPr>
  </w:style>
  <w:style w:type="paragraph" w:styleId="a7">
    <w:name w:val="Quote"/>
    <w:basedOn w:val="a"/>
    <w:next w:val="a"/>
    <w:link w:val="a8"/>
    <w:uiPriority w:val="29"/>
    <w:qFormat/>
    <w:pPr>
      <w:spacing w:before="160" w:after="160"/>
      <w:jc w:val="center"/>
    </w:pPr>
    <w:rPr>
      <w:i/>
      <w:iCs/>
      <w:color w:val="404040"/>
    </w:rPr>
  </w:style>
  <w:style w:type="character" w:customStyle="1" w:styleId="a8">
    <w:name w:val="引用 字符"/>
    <w:basedOn w:val="a0"/>
    <w:link w:val="a7"/>
    <w:uiPriority w:val="29"/>
    <w:rPr>
      <w:i/>
      <w:iCs/>
      <w:color w:val="404040"/>
    </w:rPr>
  </w:style>
  <w:style w:type="paragraph" w:styleId="a9">
    <w:name w:val="List Paragraph"/>
    <w:basedOn w:val="a"/>
    <w:uiPriority w:val="34"/>
    <w:qFormat/>
    <w:pPr>
      <w:ind w:left="720"/>
      <w:contextualSpacing/>
    </w:pPr>
  </w:style>
  <w:style w:type="character" w:styleId="aa">
    <w:name w:val="Intense Emphasis"/>
    <w:basedOn w:val="a0"/>
    <w:uiPriority w:val="21"/>
    <w:qFormat/>
    <w:rPr>
      <w:i/>
      <w:iCs/>
      <w:color w:val="2F5496"/>
    </w:rPr>
  </w:style>
  <w:style w:type="paragraph" w:styleId="ab">
    <w:name w:val="Intense Quote"/>
    <w:basedOn w:val="a"/>
    <w:next w:val="a"/>
    <w:link w:val="ac"/>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basedOn w:val="a0"/>
    <w:link w:val="ab"/>
    <w:uiPriority w:val="30"/>
    <w:rPr>
      <w:i/>
      <w:iCs/>
      <w:color w:val="2F5496"/>
    </w:rPr>
  </w:style>
  <w:style w:type="character" w:styleId="ad">
    <w:name w:val="Intense Reference"/>
    <w:basedOn w:val="a0"/>
    <w:uiPriority w:val="32"/>
    <w:qFormat/>
    <w:rPr>
      <w:b/>
      <w:bCs/>
      <w:smallCaps/>
      <w:color w:val="2F5496"/>
      <w:spacing w:val="5"/>
    </w:rPr>
  </w:style>
  <w:style w:type="paragraph" w:styleId="ae">
    <w:name w:val="header"/>
    <w:basedOn w:val="a"/>
    <w:link w:val="af"/>
    <w:uiPriority w:val="99"/>
    <w:pPr>
      <w:tabs>
        <w:tab w:val="center" w:pos="4153"/>
        <w:tab w:val="right" w:pos="8306"/>
      </w:tabs>
      <w:snapToGrid w:val="0"/>
      <w:jc w:val="center"/>
    </w:pPr>
    <w:rPr>
      <w:sz w:val="18"/>
      <w:szCs w:val="18"/>
    </w:rPr>
  </w:style>
  <w:style w:type="character" w:customStyle="1" w:styleId="af">
    <w:name w:val="页眉 字符"/>
    <w:basedOn w:val="a0"/>
    <w:link w:val="ae"/>
    <w:uiPriority w:val="99"/>
    <w:rPr>
      <w:sz w:val="18"/>
      <w:szCs w:val="18"/>
    </w:rPr>
  </w:style>
  <w:style w:type="paragraph" w:styleId="af0">
    <w:name w:val="footer"/>
    <w:basedOn w:val="a"/>
    <w:link w:val="af1"/>
    <w:uiPriority w:val="99"/>
    <w:pPr>
      <w:tabs>
        <w:tab w:val="center" w:pos="4153"/>
        <w:tab w:val="right" w:pos="8306"/>
      </w:tabs>
      <w:snapToGrid w:val="0"/>
      <w:jc w:val="left"/>
    </w:pPr>
    <w:rPr>
      <w:sz w:val="18"/>
      <w:szCs w:val="18"/>
    </w:rPr>
  </w:style>
  <w:style w:type="character" w:customStyle="1" w:styleId="af1">
    <w:name w:val="页脚 字符"/>
    <w:basedOn w:val="a0"/>
    <w:link w:val="af0"/>
    <w:uiPriority w:val="99"/>
    <w:rPr>
      <w:sz w:val="18"/>
      <w:szCs w:val="18"/>
    </w:rPr>
  </w:style>
  <w:style w:type="table" w:styleId="af2">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af4"/>
    <w:uiPriority w:val="99"/>
    <w:pPr>
      <w:snapToGrid w:val="0"/>
      <w:jc w:val="left"/>
    </w:pPr>
    <w:rPr>
      <w:sz w:val="18"/>
      <w:szCs w:val="18"/>
    </w:rPr>
  </w:style>
  <w:style w:type="character" w:customStyle="1" w:styleId="af4">
    <w:name w:val="脚注文本 字符"/>
    <w:basedOn w:val="a0"/>
    <w:link w:val="af3"/>
    <w:uiPriority w:val="99"/>
    <w:rPr>
      <w:sz w:val="18"/>
      <w:szCs w:val="18"/>
    </w:rPr>
  </w:style>
  <w:style w:type="character" w:styleId="af5">
    <w:name w:val="footnote reference"/>
    <w:basedOn w:val="a0"/>
    <w:uiPriority w:val="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E9834-CA0D-49DC-AD6B-A69B81E5A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1053</Words>
  <Characters>6004</Characters>
  <Application>Microsoft Office Word</Application>
  <DocSecurity>0</DocSecurity>
  <Lines>50</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Cenxuan Ouyang</dc:creator>
  <cp:lastModifiedBy>Cenxuan Ouyang</cp:lastModifiedBy>
  <cp:revision>4</cp:revision>
  <dcterms:created xsi:type="dcterms:W3CDTF">2025-02-06T02:53:00Z</dcterms:created>
  <dcterms:modified xsi:type="dcterms:W3CDTF">2025-02-06T03:07:00Z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ebbdf97072f94bb894e95e7655d3f28e_23</vt:lpwstr>
  </property>
</Properties>
</file>