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9F4A63">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黑体" w:cs="Times New Roman"/>
          <w:sz w:val="36"/>
          <w:szCs w:val="36"/>
          <w:lang w:val="en-US" w:eastAsia="zh-CN"/>
        </w:rPr>
      </w:pPr>
      <w:r>
        <w:rPr>
          <w:rFonts w:hint="default" w:ascii="Times New Roman" w:hAnsi="Times New Roman" w:eastAsia="黑体" w:cs="Times New Roman"/>
          <w:sz w:val="36"/>
          <w:szCs w:val="36"/>
        </w:rPr>
        <w:t>私营部门参与</w:t>
      </w:r>
      <w:r>
        <w:rPr>
          <w:rFonts w:hint="eastAsia" w:ascii="Times New Roman" w:hAnsi="Times New Roman" w:eastAsia="黑体" w:cs="Times New Roman"/>
          <w:sz w:val="36"/>
          <w:szCs w:val="36"/>
          <w:lang w:val="en-US" w:eastAsia="zh-CN"/>
        </w:rPr>
        <w:t>农食</w:t>
      </w:r>
      <w:r>
        <w:rPr>
          <w:rFonts w:hint="default" w:ascii="Times New Roman" w:hAnsi="Times New Roman" w:eastAsia="黑体" w:cs="Times New Roman"/>
          <w:sz w:val="36"/>
          <w:szCs w:val="36"/>
        </w:rPr>
        <w:t>系统气候行动</w:t>
      </w:r>
      <w:r>
        <w:rPr>
          <w:rFonts w:hint="default" w:ascii="Times New Roman" w:hAnsi="Times New Roman" w:eastAsia="黑体" w:cs="Times New Roman"/>
          <w:sz w:val="36"/>
          <w:szCs w:val="36"/>
          <w:lang w:val="en-US" w:eastAsia="zh-CN"/>
        </w:rPr>
        <w:t>的</w:t>
      </w:r>
      <w:r>
        <w:rPr>
          <w:rFonts w:hint="default" w:ascii="Times New Roman" w:hAnsi="Times New Roman" w:eastAsia="黑体" w:cs="Times New Roman"/>
          <w:sz w:val="36"/>
          <w:szCs w:val="36"/>
        </w:rPr>
        <w:t>障碍与应对措施</w:t>
      </w:r>
    </w:p>
    <w:p w14:paraId="373E40C1">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eastAsia="黑体" w:cs="Times New Roman"/>
          <w:sz w:val="36"/>
          <w:szCs w:val="36"/>
          <w:lang w:val="en-US" w:eastAsia="zh-CN"/>
        </w:rPr>
      </w:pPr>
    </w:p>
    <w:p w14:paraId="5585BB08">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600" w:firstLineChars="200"/>
        <w:jc w:val="both"/>
        <w:textAlignment w:val="auto"/>
        <w:rPr>
          <w:rFonts w:hint="eastAsia" w:ascii="Times New Roman" w:hAnsi="Times New Roman" w:cs="Times New Roman"/>
          <w:b w:val="0"/>
          <w:bCs w:val="0"/>
          <w:sz w:val="30"/>
          <w:szCs w:val="30"/>
          <w:lang w:val="en-US" w:eastAsia="zh-CN"/>
        </w:rPr>
      </w:pPr>
      <w:r>
        <w:rPr>
          <w:rFonts w:hint="eastAsia" w:ascii="黑体" w:hAnsi="黑体" w:eastAsia="黑体" w:cs="黑体"/>
          <w:b w:val="0"/>
          <w:bCs w:val="0"/>
          <w:sz w:val="30"/>
          <w:szCs w:val="30"/>
          <w:lang w:val="en-US" w:eastAsia="zh-CN"/>
        </w:rPr>
        <w:t>摘要</w:t>
      </w:r>
      <w:r>
        <w:rPr>
          <w:rFonts w:hint="eastAsia" w:ascii="Times New Roman" w:hAnsi="Times New Roman" w:cs="Times New Roman"/>
          <w:b w:val="0"/>
          <w:bCs w:val="0"/>
          <w:sz w:val="30"/>
          <w:szCs w:val="30"/>
          <w:lang w:val="en-US" w:eastAsia="zh-CN"/>
        </w:rPr>
        <w:t>：</w:t>
      </w:r>
      <w:r>
        <w:rPr>
          <w:rFonts w:hint="eastAsia" w:ascii="楷体_GB2312" w:hAnsi="楷体_GB2312" w:eastAsia="楷体_GB2312" w:cs="楷体_GB2312"/>
          <w:b w:val="0"/>
          <w:bCs w:val="0"/>
          <w:sz w:val="30"/>
          <w:szCs w:val="30"/>
          <w:lang w:val="en-US" w:eastAsia="zh-CN"/>
        </w:rPr>
        <w:t>农业食品系统作为涵盖生产、加工、林业、畜牧业等全链条的综合性体系，其温室气体排放量占全球总排放量的31%，在减排与适应中承担双重责任。在此背景下，联合国粮农组织推出SCALA项目，聚焦于将国家自主贡献和国家行动计划转化为农食领域切实可行的变革性气候解决方案，其中促进私营部门参与是项目的核心内容之一。当前，私营部门作为农食系统的重要参与者，其气候融资仅占全球农食系统资金流入的7.2%，且存在参与度低、地区分布不均、资金流向结构性失衡等问题。私营部门参与农食系统气候行动过程中面临着政策、金融、知识及生产层面四重障碍，对此，可通过政策引导、财金支持及技术援助等措施，推动私营部门深度参与农食系统气候行动，助力低碳化与气候适应型转型。</w:t>
      </w:r>
    </w:p>
    <w:p w14:paraId="6514EC74">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eastAsia="黑体" w:cs="Times New Roman"/>
          <w:sz w:val="36"/>
          <w:szCs w:val="36"/>
          <w:lang w:val="en-US" w:eastAsia="zh-CN"/>
        </w:rPr>
      </w:pPr>
    </w:p>
    <w:p w14:paraId="50ECAB39">
      <w:pPr>
        <w:keepNext w:val="0"/>
        <w:keepLines w:val="0"/>
        <w:pageBreakBefore w:val="0"/>
        <w:widowControl w:val="0"/>
        <w:numPr>
          <w:ilvl w:val="0"/>
          <w:numId w:val="1"/>
        </w:numPr>
        <w:kinsoku/>
        <w:wordWrap/>
        <w:overflowPunct/>
        <w:topLinePunct w:val="0"/>
        <w:autoSpaceDE/>
        <w:autoSpaceDN/>
        <w:bidi w:val="0"/>
        <w:adjustRightInd/>
        <w:snapToGrid/>
        <w:spacing w:line="240" w:lineRule="auto"/>
        <w:textAlignment w:val="auto"/>
        <w:rPr>
          <w:rFonts w:hint="default" w:ascii="Times New Roman" w:hAnsi="Times New Roman" w:eastAsia="黑体" w:cs="Times New Roman"/>
          <w:sz w:val="30"/>
          <w:szCs w:val="30"/>
        </w:rPr>
      </w:pPr>
      <w:r>
        <w:rPr>
          <w:rFonts w:hint="default" w:ascii="Times New Roman" w:hAnsi="Times New Roman" w:eastAsia="黑体" w:cs="Times New Roman"/>
          <w:sz w:val="30"/>
          <w:szCs w:val="30"/>
          <w:lang w:val="en-US" w:eastAsia="zh-CN"/>
        </w:rPr>
        <w:t>私营部门参与农食系统气候行动的</w:t>
      </w:r>
      <w:r>
        <w:rPr>
          <w:rFonts w:hint="eastAsia" w:ascii="Times New Roman" w:hAnsi="Times New Roman" w:eastAsia="黑体" w:cs="Times New Roman"/>
          <w:sz w:val="30"/>
          <w:szCs w:val="30"/>
          <w:lang w:val="en-US" w:eastAsia="zh-CN"/>
        </w:rPr>
        <w:t>现实</w:t>
      </w:r>
      <w:r>
        <w:rPr>
          <w:rFonts w:hint="default" w:ascii="Times New Roman" w:hAnsi="Times New Roman" w:eastAsia="黑体" w:cs="Times New Roman"/>
          <w:sz w:val="30"/>
          <w:szCs w:val="30"/>
          <w:lang w:val="en-US" w:eastAsia="zh-CN"/>
        </w:rPr>
        <w:t>背景</w:t>
      </w:r>
    </w:p>
    <w:p w14:paraId="0B4F0C70">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602" w:firstLineChars="200"/>
        <w:jc w:val="both"/>
        <w:textAlignment w:val="auto"/>
        <w:rPr>
          <w:rFonts w:hint="default" w:ascii="Times New Roman" w:hAnsi="Times New Roman" w:cs="Times New Roman"/>
          <w:b/>
          <w:bCs/>
          <w:sz w:val="30"/>
          <w:szCs w:val="30"/>
          <w:lang w:val="en-US" w:eastAsia="zh-CN"/>
        </w:rPr>
      </w:pPr>
      <w:r>
        <w:rPr>
          <w:rFonts w:hint="eastAsia" w:ascii="Times New Roman" w:hAnsi="Times New Roman" w:cs="Times New Roman"/>
          <w:b/>
          <w:bCs/>
          <w:sz w:val="30"/>
          <w:szCs w:val="30"/>
          <w:lang w:eastAsia="zh-CN"/>
        </w:rPr>
        <w:t>（</w:t>
      </w:r>
      <w:r>
        <w:rPr>
          <w:rFonts w:hint="eastAsia" w:ascii="Times New Roman" w:hAnsi="Times New Roman" w:cs="Times New Roman"/>
          <w:b/>
          <w:bCs/>
          <w:sz w:val="30"/>
          <w:szCs w:val="30"/>
          <w:lang w:val="en-US" w:eastAsia="zh-CN"/>
        </w:rPr>
        <w:t>一</w:t>
      </w:r>
      <w:r>
        <w:rPr>
          <w:rFonts w:hint="eastAsia" w:ascii="Times New Roman" w:hAnsi="Times New Roman" w:cs="Times New Roman"/>
          <w:b/>
          <w:bCs/>
          <w:sz w:val="30"/>
          <w:szCs w:val="30"/>
          <w:lang w:eastAsia="zh-CN"/>
        </w:rPr>
        <w:t>）</w:t>
      </w:r>
      <w:r>
        <w:rPr>
          <w:rFonts w:hint="eastAsia" w:ascii="Times New Roman" w:hAnsi="Times New Roman" w:cs="Times New Roman"/>
          <w:b/>
          <w:bCs/>
          <w:sz w:val="30"/>
          <w:szCs w:val="30"/>
          <w:lang w:val="en-US" w:eastAsia="zh-CN"/>
        </w:rPr>
        <w:t>农业食品系统及私营部门的概念</w:t>
      </w:r>
    </w:p>
    <w:p w14:paraId="39468684">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600" w:firstLineChars="200"/>
        <w:jc w:val="both"/>
        <w:textAlignment w:val="auto"/>
        <w:rPr>
          <w:rFonts w:hint="default" w:ascii="Times New Roman" w:hAnsi="Times New Roman" w:cs="Times New Roman"/>
          <w:b/>
          <w:bCs/>
          <w:sz w:val="30"/>
          <w:szCs w:val="30"/>
        </w:rPr>
      </w:pPr>
      <w:r>
        <w:rPr>
          <w:rFonts w:hint="default" w:ascii="Times New Roman" w:hAnsi="Times New Roman" w:cs="Times New Roman"/>
          <w:b w:val="0"/>
          <w:bCs w:val="0"/>
          <w:sz w:val="30"/>
          <w:szCs w:val="30"/>
        </w:rPr>
        <w:t>农业食品系统是一个综合性体系，不仅涵盖食品从生产到加工的全流程，还包括林业、畜牧业、生物燃料原料及纤维等非食品产品的生产，以及相关人员在价值链各环节中的活动</w:t>
      </w:r>
      <w:r>
        <w:rPr>
          <w:rStyle w:val="11"/>
          <w:rFonts w:hint="default" w:ascii="Times New Roman" w:hAnsi="Times New Roman" w:cs="Times New Roman"/>
          <w:b w:val="0"/>
          <w:bCs w:val="0"/>
          <w:sz w:val="30"/>
          <w:szCs w:val="30"/>
        </w:rPr>
        <w:footnoteReference w:id="0"/>
      </w:r>
      <w:r>
        <w:rPr>
          <w:rFonts w:hint="default" w:ascii="Times New Roman" w:hAnsi="Times New Roman" w:cs="Times New Roman"/>
          <w:b w:val="0"/>
          <w:bCs w:val="0"/>
          <w:sz w:val="30"/>
          <w:szCs w:val="30"/>
        </w:rPr>
        <w:t>。在这一系统中，私营部门扮演着重要角色。根据</w:t>
      </w:r>
      <w:r>
        <w:rPr>
          <w:rFonts w:hint="eastAsia" w:ascii="Times New Roman" w:hAnsi="Times New Roman" w:cs="Times New Roman"/>
          <w:b w:val="0"/>
          <w:bCs w:val="0"/>
          <w:sz w:val="30"/>
          <w:szCs w:val="30"/>
          <w:lang w:val="en-US" w:eastAsia="zh-CN"/>
        </w:rPr>
        <w:t>联合国粮食及农业组织（Food and Agriculture Organization，FAO）</w:t>
      </w:r>
      <w:r>
        <w:rPr>
          <w:rFonts w:hint="default" w:ascii="Times New Roman" w:hAnsi="Times New Roman" w:cs="Times New Roman"/>
          <w:b w:val="0"/>
          <w:bCs w:val="0"/>
          <w:sz w:val="30"/>
          <w:szCs w:val="30"/>
        </w:rPr>
        <w:t>的定义，私营部门既包括农民、渔民等个体生产者，也涵盖中小微企业、合作社等组织形式，还</w:t>
      </w:r>
      <w:r>
        <w:rPr>
          <w:rFonts w:hint="eastAsia" w:ascii="Times New Roman" w:hAnsi="Times New Roman" w:cs="Times New Roman"/>
          <w:b w:val="0"/>
          <w:bCs w:val="0"/>
          <w:sz w:val="30"/>
          <w:szCs w:val="30"/>
          <w:lang w:val="en-US" w:eastAsia="zh-CN"/>
        </w:rPr>
        <w:t>包括</w:t>
      </w:r>
      <w:r>
        <w:rPr>
          <w:rFonts w:hint="default" w:ascii="Times New Roman" w:hAnsi="Times New Roman" w:cs="Times New Roman"/>
          <w:b w:val="0"/>
          <w:bCs w:val="0"/>
          <w:sz w:val="30"/>
          <w:szCs w:val="30"/>
        </w:rPr>
        <w:t>大型国内及跨国企业、慈善基金会等。此外，代表私营部门利益的行业组织、贸易协会及联盟也被纳入私营部门范畴</w:t>
      </w:r>
      <w:r>
        <w:rPr>
          <w:rStyle w:val="11"/>
          <w:rFonts w:hint="default" w:ascii="Times New Roman" w:hAnsi="Times New Roman" w:cs="Times New Roman"/>
          <w:sz w:val="30"/>
          <w:szCs w:val="30"/>
        </w:rPr>
        <w:footnoteReference w:id="1"/>
      </w:r>
      <w:r>
        <w:rPr>
          <w:rFonts w:hint="eastAsia" w:ascii="Times New Roman" w:hAnsi="Times New Roman" w:cs="Times New Roman"/>
          <w:b w:val="0"/>
          <w:bCs w:val="0"/>
          <w:sz w:val="30"/>
          <w:szCs w:val="30"/>
          <w:lang w:eastAsia="zh-CN"/>
        </w:rPr>
        <w:t>。</w:t>
      </w:r>
    </w:p>
    <w:p w14:paraId="49DBE88C">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1" w:firstLineChars="100"/>
        <w:jc w:val="both"/>
        <w:textAlignment w:val="auto"/>
        <w:rPr>
          <w:rFonts w:hint="default" w:ascii="Times New Roman" w:hAnsi="Times New Roman" w:cs="Times New Roman"/>
          <w:sz w:val="30"/>
          <w:szCs w:val="30"/>
        </w:rPr>
      </w:pPr>
      <w:r>
        <w:rPr>
          <w:rFonts w:hint="default" w:ascii="Times New Roman" w:hAnsi="Times New Roman" w:cs="Times New Roman"/>
          <w:b/>
          <w:bCs/>
          <w:sz w:val="30"/>
          <w:szCs w:val="30"/>
          <w:lang w:eastAsia="zh-CN"/>
        </w:rPr>
        <w:t>（</w:t>
      </w:r>
      <w:r>
        <w:rPr>
          <w:rFonts w:hint="eastAsia" w:ascii="Times New Roman" w:hAnsi="Times New Roman" w:cs="Times New Roman"/>
          <w:b/>
          <w:bCs/>
          <w:sz w:val="30"/>
          <w:szCs w:val="30"/>
          <w:lang w:val="en-US" w:eastAsia="zh-CN"/>
        </w:rPr>
        <w:t>二</w:t>
      </w:r>
      <w:r>
        <w:rPr>
          <w:rFonts w:hint="default" w:ascii="Times New Roman" w:hAnsi="Times New Roman" w:cs="Times New Roman"/>
          <w:b/>
          <w:bCs/>
          <w:sz w:val="30"/>
          <w:szCs w:val="30"/>
          <w:lang w:eastAsia="zh-CN"/>
        </w:rPr>
        <w:t>）</w:t>
      </w:r>
      <w:r>
        <w:rPr>
          <w:rFonts w:hint="default" w:ascii="Times New Roman" w:hAnsi="Times New Roman" w:cs="Times New Roman"/>
          <w:b/>
          <w:bCs/>
          <w:sz w:val="30"/>
          <w:szCs w:val="30"/>
          <w:lang w:val="en-US" w:eastAsia="zh-CN"/>
        </w:rPr>
        <w:t>农食系统气候资金缺口较大，私营部门参与度低且分布不均</w:t>
      </w:r>
    </w:p>
    <w:p w14:paraId="338D520B">
      <w:pPr>
        <w:numPr>
          <w:ilvl w:val="0"/>
          <w:numId w:val="0"/>
        </w:numPr>
        <w:spacing w:line="240" w:lineRule="auto"/>
        <w:ind w:firstLine="600" w:firstLineChars="200"/>
        <w:rPr>
          <w:rFonts w:hint="default" w:ascii="Times New Roman" w:hAnsi="Times New Roman" w:cs="Times New Roman"/>
          <w:sz w:val="30"/>
          <w:szCs w:val="30"/>
        </w:rPr>
      </w:pPr>
      <w:r>
        <w:rPr>
          <w:rFonts w:hint="default" w:ascii="Times New Roman" w:hAnsi="Times New Roman" w:cs="Times New Roman"/>
          <w:sz w:val="30"/>
          <w:szCs w:val="30"/>
        </w:rPr>
        <w:t>2021/22年</w:t>
      </w:r>
      <w:r>
        <w:rPr>
          <w:rFonts w:hint="eastAsia" w:ascii="Times New Roman" w:hAnsi="Times New Roman" w:cs="Times New Roman"/>
          <w:sz w:val="30"/>
          <w:szCs w:val="30"/>
          <w:lang w:val="en-US" w:eastAsia="zh-CN"/>
        </w:rPr>
        <w:t>度</w:t>
      </w:r>
      <w:r>
        <w:rPr>
          <w:rFonts w:hint="default" w:ascii="Times New Roman" w:hAnsi="Times New Roman" w:cs="Times New Roman"/>
          <w:sz w:val="30"/>
          <w:szCs w:val="30"/>
        </w:rPr>
        <w:t>，全球</w:t>
      </w:r>
      <w:r>
        <w:rPr>
          <w:rFonts w:hint="eastAsia" w:ascii="Times New Roman" w:hAnsi="Times New Roman" w:cs="Times New Roman"/>
          <w:sz w:val="30"/>
          <w:szCs w:val="30"/>
          <w:lang w:val="en-US" w:eastAsia="zh-CN"/>
        </w:rPr>
        <w:t>农食系统</w:t>
      </w:r>
      <w:r>
        <w:rPr>
          <w:rFonts w:hint="default" w:ascii="Times New Roman" w:hAnsi="Times New Roman" w:cs="Times New Roman"/>
          <w:sz w:val="30"/>
          <w:szCs w:val="30"/>
        </w:rPr>
        <w:t>资金流入</w:t>
      </w:r>
      <w:r>
        <w:rPr>
          <w:rFonts w:hint="eastAsia" w:ascii="Times New Roman" w:hAnsi="Times New Roman" w:cs="Times New Roman"/>
          <w:sz w:val="30"/>
          <w:szCs w:val="30"/>
          <w:lang w:val="en-US" w:eastAsia="zh-CN"/>
        </w:rPr>
        <w:t>达到949亿</w:t>
      </w:r>
      <w:r>
        <w:rPr>
          <w:rFonts w:hint="default" w:ascii="Times New Roman" w:hAnsi="Times New Roman" w:cs="Times New Roman"/>
          <w:sz w:val="30"/>
          <w:szCs w:val="30"/>
        </w:rPr>
        <w:t>，</w:t>
      </w:r>
      <w:r>
        <w:rPr>
          <w:rFonts w:hint="eastAsia" w:ascii="Times New Roman" w:hAnsi="Times New Roman" w:cs="Times New Roman"/>
          <w:sz w:val="30"/>
          <w:szCs w:val="30"/>
          <w:lang w:val="en-US" w:eastAsia="zh-CN"/>
        </w:rPr>
        <w:t>仅</w:t>
      </w:r>
      <w:r>
        <w:rPr>
          <w:rFonts w:hint="default" w:ascii="Times New Roman" w:hAnsi="Times New Roman" w:cs="Times New Roman"/>
          <w:sz w:val="30"/>
          <w:szCs w:val="30"/>
        </w:rPr>
        <w:t>占气候融资整体的7.2%。当前流向农业食品系统的气候融资中，私营部门参与度</w:t>
      </w:r>
      <w:r>
        <w:rPr>
          <w:rFonts w:hint="eastAsia" w:ascii="Times New Roman" w:hAnsi="Times New Roman" w:cs="Times New Roman"/>
          <w:sz w:val="30"/>
          <w:szCs w:val="30"/>
          <w:lang w:val="en-US" w:eastAsia="zh-CN"/>
        </w:rPr>
        <w:t>很</w:t>
      </w:r>
      <w:r>
        <w:rPr>
          <w:rFonts w:hint="default" w:ascii="Times New Roman" w:hAnsi="Times New Roman" w:cs="Times New Roman"/>
          <w:sz w:val="30"/>
          <w:szCs w:val="30"/>
        </w:rPr>
        <w:t>低。</w:t>
      </w:r>
      <w:r>
        <w:rPr>
          <w:rFonts w:hint="eastAsia" w:ascii="Times New Roman" w:hAnsi="Times New Roman" w:cs="Times New Roman"/>
          <w:sz w:val="30"/>
          <w:szCs w:val="30"/>
          <w:lang w:val="en-US" w:eastAsia="zh-CN"/>
        </w:rPr>
        <w:t>虽然</w:t>
      </w:r>
      <w:r>
        <w:rPr>
          <w:rFonts w:hint="default" w:ascii="Times New Roman" w:hAnsi="Times New Roman" w:cs="Times New Roman"/>
          <w:sz w:val="30"/>
          <w:szCs w:val="30"/>
        </w:rPr>
        <w:t>在2019/20年度的低基数基础上</w:t>
      </w:r>
      <w:r>
        <w:rPr>
          <w:rFonts w:hint="eastAsia" w:ascii="Times New Roman" w:hAnsi="Times New Roman" w:cs="Times New Roman"/>
          <w:sz w:val="30"/>
          <w:szCs w:val="30"/>
          <w:lang w:eastAsia="zh-CN"/>
        </w:rPr>
        <w:t>，私营部门投资</w:t>
      </w:r>
      <w:r>
        <w:rPr>
          <w:rFonts w:hint="default" w:ascii="Times New Roman" w:hAnsi="Times New Roman" w:cs="Times New Roman"/>
          <w:sz w:val="30"/>
          <w:szCs w:val="30"/>
        </w:rPr>
        <w:t>增长近六倍至192亿美元，</w:t>
      </w:r>
      <w:r>
        <w:rPr>
          <w:rFonts w:hint="eastAsia" w:ascii="Times New Roman" w:hAnsi="Times New Roman" w:cs="Times New Roman"/>
          <w:sz w:val="30"/>
          <w:szCs w:val="30"/>
          <w:lang w:val="en-US" w:eastAsia="zh-CN"/>
        </w:rPr>
        <w:t>但仍远低于需求。在地区分布上，私营投资主要流向中高收入经济体</w:t>
      </w:r>
      <w:r>
        <w:rPr>
          <w:rFonts w:hint="eastAsia" w:ascii="Times New Roman" w:hAnsi="Times New Roman" w:cs="Times New Roman"/>
          <w:sz w:val="30"/>
          <w:szCs w:val="30"/>
          <w:lang w:eastAsia="zh-CN"/>
        </w:rPr>
        <w:t>，</w:t>
      </w:r>
      <w:r>
        <w:rPr>
          <w:rFonts w:hint="default" w:ascii="Times New Roman" w:hAnsi="Times New Roman" w:cs="Times New Roman"/>
          <w:sz w:val="30"/>
          <w:szCs w:val="30"/>
        </w:rPr>
        <w:t>撒哈拉以南的非洲、拉丁美洲等关键农业区域的私营融资严重不足</w:t>
      </w:r>
      <w:r>
        <w:rPr>
          <w:rStyle w:val="11"/>
          <w:rFonts w:hint="default" w:ascii="Times New Roman" w:hAnsi="Times New Roman" w:eastAsia="仿宋" w:cs="Times New Roman"/>
          <w:sz w:val="30"/>
          <w:szCs w:val="30"/>
        </w:rPr>
        <w:footnoteReference w:id="2"/>
      </w:r>
      <w:r>
        <w:rPr>
          <w:rFonts w:hint="default" w:ascii="Times New Roman" w:hAnsi="Times New Roman" w:cs="Times New Roman"/>
          <w:sz w:val="30"/>
          <w:szCs w:val="30"/>
        </w:rPr>
        <w:t>。发展中国家65%的</w:t>
      </w:r>
      <w:r>
        <w:rPr>
          <w:rFonts w:hint="eastAsia" w:ascii="Times New Roman" w:hAnsi="Times New Roman" w:cs="Times New Roman"/>
          <w:sz w:val="30"/>
          <w:szCs w:val="30"/>
          <w:lang w:val="en-US" w:eastAsia="zh-CN"/>
        </w:rPr>
        <w:t>农食系统</w:t>
      </w:r>
      <w:r>
        <w:rPr>
          <w:rFonts w:hint="default" w:ascii="Times New Roman" w:hAnsi="Times New Roman" w:cs="Times New Roman"/>
          <w:sz w:val="30"/>
          <w:szCs w:val="30"/>
        </w:rPr>
        <w:t>融资依赖国际公共</w:t>
      </w:r>
      <w:r>
        <w:rPr>
          <w:rFonts w:hint="default" w:ascii="Times New Roman" w:hAnsi="Times New Roman" w:cs="Times New Roman"/>
          <w:sz w:val="30"/>
          <w:szCs w:val="30"/>
          <w:lang w:val="en-US"/>
        </w:rPr>
        <w:t>部门</w:t>
      </w:r>
      <w:r>
        <w:rPr>
          <w:rFonts w:hint="default" w:ascii="Times New Roman" w:hAnsi="Times New Roman" w:cs="Times New Roman"/>
          <w:sz w:val="30"/>
          <w:szCs w:val="30"/>
        </w:rPr>
        <w:t>和私人</w:t>
      </w:r>
      <w:r>
        <w:rPr>
          <w:rFonts w:hint="default" w:ascii="Times New Roman" w:hAnsi="Times New Roman" w:cs="Times New Roman"/>
          <w:sz w:val="30"/>
          <w:szCs w:val="30"/>
          <w:lang w:val="en-US"/>
        </w:rPr>
        <w:t>部门</w:t>
      </w:r>
      <w:r>
        <w:rPr>
          <w:rFonts w:hint="default" w:ascii="Times New Roman" w:hAnsi="Times New Roman" w:cs="Times New Roman"/>
          <w:sz w:val="30"/>
          <w:szCs w:val="30"/>
        </w:rPr>
        <w:t>，中东及北非、东亚太平洋地区依赖度超70%，反映出国内私营资本动员能力薄弱</w:t>
      </w:r>
      <w:r>
        <w:rPr>
          <w:rStyle w:val="11"/>
          <w:rFonts w:hint="default" w:ascii="Times New Roman" w:hAnsi="Times New Roman" w:cs="Times New Roman"/>
          <w:sz w:val="30"/>
          <w:szCs w:val="30"/>
        </w:rPr>
        <w:footnoteReference w:id="3"/>
      </w:r>
      <w:r>
        <w:rPr>
          <w:rFonts w:hint="default" w:ascii="Times New Roman" w:hAnsi="Times New Roman" w:cs="Times New Roman"/>
          <w:sz w:val="30"/>
          <w:szCs w:val="30"/>
        </w:rPr>
        <w:t>。</w:t>
      </w:r>
      <w:r>
        <w:rPr>
          <w:rFonts w:hint="eastAsia" w:ascii="Times New Roman" w:hAnsi="Times New Roman" w:cs="Times New Roman"/>
          <w:sz w:val="30"/>
          <w:szCs w:val="30"/>
          <w:lang w:val="en-US" w:eastAsia="zh-CN"/>
        </w:rPr>
        <w:t>此外，</w:t>
      </w:r>
      <w:r>
        <w:rPr>
          <w:rFonts w:hint="default" w:ascii="Times New Roman" w:hAnsi="Times New Roman" w:cs="Times New Roman"/>
          <w:sz w:val="30"/>
          <w:szCs w:val="30"/>
        </w:rPr>
        <w:t>私营部门的资金流向</w:t>
      </w:r>
      <w:r>
        <w:rPr>
          <w:rFonts w:hint="eastAsia" w:ascii="Times New Roman" w:hAnsi="Times New Roman" w:cs="Times New Roman"/>
          <w:sz w:val="30"/>
          <w:szCs w:val="30"/>
          <w:lang w:val="en-US" w:eastAsia="zh-CN"/>
        </w:rPr>
        <w:t>相较于公共部门而言</w:t>
      </w:r>
      <w:r>
        <w:rPr>
          <w:rFonts w:hint="default" w:ascii="Times New Roman" w:hAnsi="Times New Roman" w:cs="Times New Roman"/>
          <w:sz w:val="30"/>
          <w:szCs w:val="30"/>
        </w:rPr>
        <w:t>较难追踪。</w:t>
      </w:r>
      <w:r>
        <w:rPr>
          <w:rFonts w:hint="eastAsia" w:ascii="Times New Roman" w:hAnsi="Times New Roman" w:cs="Times New Roman"/>
          <w:sz w:val="30"/>
          <w:szCs w:val="30"/>
          <w:lang w:val="en-US" w:eastAsia="zh-CN"/>
        </w:rPr>
        <w:t>2017-2022年间，农业粮食体系所获得的私营资金支持呈现出明显的结构性失衡。外出务工人员的汇款年均达290亿美元，外国直接投资规模年均620亿美元。相比之下，慈善资金的投入明显不足，年均仅40亿美元。混合融资渠道的规模更为有限，银行业对农林渔业的信贷支持持续萎缩，净贷款规模几乎连年下滑</w:t>
      </w:r>
      <w:r>
        <w:rPr>
          <w:rStyle w:val="11"/>
          <w:rFonts w:hint="default" w:ascii="Times New Roman" w:hAnsi="Times New Roman" w:cs="Times New Roman"/>
          <w:sz w:val="30"/>
          <w:szCs w:val="30"/>
        </w:rPr>
        <w:footnoteReference w:id="4"/>
      </w:r>
      <w:r>
        <w:rPr>
          <w:rFonts w:hint="eastAsia" w:ascii="Times New Roman" w:hAnsi="Times New Roman" w:cs="Times New Roman"/>
          <w:sz w:val="30"/>
          <w:szCs w:val="30"/>
          <w:lang w:val="en-US" w:eastAsia="zh-CN"/>
        </w:rPr>
        <w:t>。</w:t>
      </w:r>
    </w:p>
    <w:p w14:paraId="784D6B97">
      <w:pPr>
        <w:numPr>
          <w:ilvl w:val="0"/>
          <w:numId w:val="0"/>
        </w:numPr>
        <w:spacing w:line="240" w:lineRule="auto"/>
        <w:ind w:firstLine="602" w:firstLineChars="200"/>
        <w:rPr>
          <w:rFonts w:hint="eastAsia" w:ascii="Times New Roman" w:hAnsi="Times New Roman" w:cs="Times New Roman"/>
          <w:b/>
          <w:bCs/>
          <w:sz w:val="30"/>
          <w:szCs w:val="30"/>
          <w:lang w:eastAsia="zh-CN"/>
        </w:rPr>
      </w:pPr>
      <w:r>
        <w:rPr>
          <w:rFonts w:hint="eastAsia" w:ascii="Times New Roman" w:hAnsi="Times New Roman" w:cs="Times New Roman"/>
          <w:b/>
          <w:bCs/>
          <w:sz w:val="30"/>
          <w:szCs w:val="30"/>
          <w:lang w:eastAsia="zh-CN"/>
        </w:rPr>
        <w:t>（</w:t>
      </w:r>
      <w:r>
        <w:rPr>
          <w:rFonts w:hint="eastAsia" w:ascii="Times New Roman" w:hAnsi="Times New Roman" w:cs="Times New Roman"/>
          <w:b/>
          <w:bCs/>
          <w:sz w:val="30"/>
          <w:szCs w:val="30"/>
          <w:lang w:val="en-US" w:eastAsia="zh-CN"/>
        </w:rPr>
        <w:t>三</w:t>
      </w:r>
      <w:r>
        <w:rPr>
          <w:rFonts w:hint="eastAsia" w:ascii="Times New Roman" w:hAnsi="Times New Roman" w:cs="Times New Roman"/>
          <w:b/>
          <w:bCs/>
          <w:sz w:val="30"/>
          <w:szCs w:val="30"/>
          <w:lang w:eastAsia="zh-CN"/>
        </w:rPr>
        <w:t>）农食系统在气候变化应对中兼具减排与适应的双重责任</w:t>
      </w:r>
    </w:p>
    <w:p w14:paraId="5258FCD5">
      <w:pPr>
        <w:numPr>
          <w:ilvl w:val="0"/>
          <w:numId w:val="0"/>
        </w:numPr>
        <w:spacing w:line="240" w:lineRule="auto"/>
        <w:ind w:firstLine="602" w:firstLineChars="200"/>
        <w:rPr>
          <w:rFonts w:hint="default" w:ascii="Times New Roman" w:hAnsi="Times New Roman" w:cs="Times New Roman"/>
          <w:sz w:val="30"/>
          <w:szCs w:val="30"/>
          <w:lang w:val="en-US" w:eastAsia="zh-CN"/>
        </w:rPr>
      </w:pPr>
      <w:r>
        <w:rPr>
          <w:rFonts w:hint="default" w:ascii="Times New Roman" w:hAnsi="Times New Roman" w:eastAsia="仿宋" w:cs="Times New Roman"/>
          <w:b/>
          <w:bCs/>
          <w:sz w:val="30"/>
          <w:szCs w:val="30"/>
          <w:lang w:val="en-US" w:eastAsia="zh-CN"/>
        </w:rPr>
        <w:t>一方面</w:t>
      </w:r>
      <w:r>
        <w:rPr>
          <w:rFonts w:hint="default" w:ascii="Times New Roman" w:hAnsi="Times New Roman" w:eastAsia="仿宋" w:cs="Times New Roman"/>
          <w:sz w:val="30"/>
          <w:szCs w:val="30"/>
          <w:lang w:val="en-US" w:eastAsia="zh-CN"/>
        </w:rPr>
        <w:t>，全球</w:t>
      </w:r>
      <w:r>
        <w:rPr>
          <w:rFonts w:hint="eastAsia" w:ascii="Times New Roman" w:hAnsi="Times New Roman" w:cs="Times New Roman"/>
          <w:sz w:val="30"/>
          <w:szCs w:val="30"/>
          <w:lang w:val="en-US" w:eastAsia="zh-CN"/>
        </w:rPr>
        <w:t>农食系统温室气体排放量</w:t>
      </w:r>
      <w:r>
        <w:rPr>
          <w:rFonts w:hint="default" w:ascii="Times New Roman" w:hAnsi="Times New Roman" w:eastAsia="仿宋" w:cs="Times New Roman"/>
          <w:sz w:val="30"/>
          <w:szCs w:val="30"/>
          <w:lang w:val="en-US" w:eastAsia="zh-CN"/>
        </w:rPr>
        <w:t>每年达160亿吨，约占全球总排放量的31%</w:t>
      </w:r>
      <w:r>
        <w:rPr>
          <w:rFonts w:hint="eastAsia" w:ascii="Times New Roman" w:hAnsi="Times New Roman" w:cs="Times New Roman"/>
          <w:sz w:val="30"/>
          <w:szCs w:val="30"/>
          <w:lang w:val="en-US" w:eastAsia="zh-CN"/>
        </w:rPr>
        <w:t>，</w:t>
      </w:r>
      <w:r>
        <w:rPr>
          <w:rFonts w:hint="default" w:ascii="Times New Roman" w:hAnsi="Times New Roman" w:eastAsia="仿宋" w:cs="Times New Roman"/>
          <w:sz w:val="30"/>
          <w:szCs w:val="30"/>
          <w:lang w:val="en-US" w:eastAsia="zh-CN"/>
        </w:rPr>
        <w:t>仅农业食品系统排放就可能使全球温升超过1.5°C</w:t>
      </w:r>
      <w:r>
        <w:rPr>
          <w:rStyle w:val="11"/>
          <w:rFonts w:hint="default" w:ascii="Times New Roman" w:hAnsi="Times New Roman" w:cs="Times New Roman"/>
          <w:sz w:val="30"/>
          <w:szCs w:val="30"/>
          <w:lang w:val="en-US" w:eastAsia="zh-CN"/>
        </w:rPr>
        <w:footnoteReference w:id="5"/>
      </w:r>
      <w:r>
        <w:rPr>
          <w:rFonts w:hint="default" w:ascii="Times New Roman" w:hAnsi="Times New Roman" w:eastAsia="仿宋" w:cs="Times New Roman"/>
          <w:sz w:val="30"/>
          <w:szCs w:val="30"/>
          <w:lang w:val="en-US" w:eastAsia="zh-CN"/>
        </w:rPr>
        <w:t>。</w:t>
      </w:r>
      <w:r>
        <w:rPr>
          <w:rFonts w:hint="default" w:ascii="Times New Roman" w:hAnsi="Times New Roman" w:eastAsia="仿宋" w:cs="Times New Roman"/>
          <w:b/>
          <w:bCs/>
          <w:sz w:val="30"/>
          <w:szCs w:val="30"/>
          <w:lang w:val="en-US" w:eastAsia="zh-CN"/>
        </w:rPr>
        <w:t>另一方面</w:t>
      </w:r>
      <w:r>
        <w:rPr>
          <w:rFonts w:hint="default" w:ascii="Times New Roman" w:hAnsi="Times New Roman" w:eastAsia="仿宋" w:cs="Times New Roman"/>
          <w:sz w:val="30"/>
          <w:szCs w:val="30"/>
          <w:lang w:val="en-US" w:eastAsia="zh-CN"/>
        </w:rPr>
        <w:t>，农食系统面对气候变化的暴露度和脆弱性较高，气候变化已导致全球作物产量波动幅度占比达三分之一</w:t>
      </w:r>
      <w:r>
        <w:rPr>
          <w:rStyle w:val="11"/>
          <w:rFonts w:hint="default" w:ascii="Times New Roman" w:hAnsi="Times New Roman" w:cs="Times New Roman"/>
          <w:sz w:val="30"/>
          <w:szCs w:val="30"/>
          <w:lang w:val="en-US" w:eastAsia="zh-CN"/>
        </w:rPr>
        <w:footnoteReference w:id="6"/>
      </w:r>
      <w:r>
        <w:rPr>
          <w:rFonts w:hint="default" w:ascii="Times New Roman" w:hAnsi="Times New Roman" w:eastAsia="仿宋" w:cs="Times New Roman"/>
          <w:sz w:val="30"/>
          <w:szCs w:val="30"/>
          <w:lang w:val="en-US" w:eastAsia="zh-CN"/>
        </w:rPr>
        <w:t>，若不采取有效措施，到2050年，全球粮食产量可能较当前减少5%-30%</w:t>
      </w:r>
      <w:r>
        <w:rPr>
          <w:rStyle w:val="11"/>
          <w:rFonts w:hint="default" w:ascii="Times New Roman" w:hAnsi="Times New Roman" w:cs="Times New Roman"/>
          <w:sz w:val="30"/>
          <w:szCs w:val="30"/>
          <w:lang w:val="en-US" w:eastAsia="zh-CN"/>
        </w:rPr>
        <w:footnoteReference w:id="7"/>
      </w:r>
      <w:r>
        <w:rPr>
          <w:rFonts w:hint="default" w:ascii="Times New Roman" w:hAnsi="Times New Roman" w:eastAsia="仿宋" w:cs="Times New Roman"/>
          <w:sz w:val="30"/>
          <w:szCs w:val="30"/>
          <w:lang w:val="en-US" w:eastAsia="zh-CN"/>
        </w:rPr>
        <w:t>。</w:t>
      </w:r>
    </w:p>
    <w:p w14:paraId="241579FB">
      <w:pPr>
        <w:keepNext w:val="0"/>
        <w:keepLines w:val="0"/>
        <w:pageBreakBefore w:val="0"/>
        <w:widowControl w:val="0"/>
        <w:numPr>
          <w:ilvl w:val="0"/>
          <w:numId w:val="1"/>
        </w:numPr>
        <w:kinsoku/>
        <w:wordWrap/>
        <w:overflowPunct/>
        <w:topLinePunct w:val="0"/>
        <w:autoSpaceDE/>
        <w:autoSpaceDN/>
        <w:bidi w:val="0"/>
        <w:adjustRightInd/>
        <w:snapToGrid/>
        <w:spacing w:line="240" w:lineRule="auto"/>
        <w:textAlignment w:val="auto"/>
        <w:rPr>
          <w:rFonts w:hint="default" w:ascii="Times New Roman" w:hAnsi="Times New Roman" w:eastAsia="黑体" w:cs="Times New Roman"/>
          <w:sz w:val="30"/>
          <w:szCs w:val="30"/>
          <w:lang w:val="en-US" w:eastAsia="zh-CN"/>
        </w:rPr>
      </w:pPr>
      <w:r>
        <w:rPr>
          <w:rFonts w:hint="default" w:ascii="Times New Roman" w:hAnsi="Times New Roman" w:eastAsia="黑体" w:cs="Times New Roman"/>
          <w:sz w:val="30"/>
          <w:szCs w:val="30"/>
          <w:lang w:val="en-US" w:eastAsia="zh-CN"/>
        </w:rPr>
        <w:t>私营部门参与农食系统气候行动的模式与实施</w:t>
      </w:r>
      <w:r>
        <w:rPr>
          <w:rFonts w:hint="eastAsia" w:ascii="Times New Roman" w:hAnsi="Times New Roman" w:eastAsia="黑体" w:cs="Times New Roman"/>
          <w:sz w:val="30"/>
          <w:szCs w:val="30"/>
          <w:lang w:val="en-US" w:eastAsia="zh-CN"/>
        </w:rPr>
        <w:t>步骤</w:t>
      </w:r>
    </w:p>
    <w:p w14:paraId="6B626E6E">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602" w:firstLineChars="200"/>
        <w:jc w:val="both"/>
        <w:textAlignment w:val="auto"/>
        <w:rPr>
          <w:rFonts w:hint="default" w:ascii="Times New Roman" w:hAnsi="Times New Roman" w:cs="Times New Roman"/>
          <w:b/>
          <w:bCs/>
          <w:sz w:val="30"/>
          <w:szCs w:val="30"/>
          <w:lang w:val="en-US" w:eastAsia="zh-CN"/>
        </w:rPr>
      </w:pPr>
      <w:r>
        <w:rPr>
          <w:rFonts w:hint="default" w:ascii="Times New Roman" w:hAnsi="Times New Roman" w:cs="Times New Roman"/>
          <w:b/>
          <w:bCs/>
          <w:sz w:val="30"/>
          <w:szCs w:val="30"/>
          <w:lang w:eastAsia="zh-CN"/>
        </w:rPr>
        <w:t>（</w:t>
      </w:r>
      <w:r>
        <w:rPr>
          <w:rFonts w:hint="default" w:ascii="Times New Roman" w:hAnsi="Times New Roman" w:cs="Times New Roman"/>
          <w:b/>
          <w:bCs/>
          <w:sz w:val="30"/>
          <w:szCs w:val="30"/>
          <w:lang w:val="en-US" w:eastAsia="zh-CN"/>
        </w:rPr>
        <w:t>一</w:t>
      </w:r>
      <w:r>
        <w:rPr>
          <w:rFonts w:hint="default" w:ascii="Times New Roman" w:hAnsi="Times New Roman" w:cs="Times New Roman"/>
          <w:b/>
          <w:bCs/>
          <w:sz w:val="30"/>
          <w:szCs w:val="30"/>
          <w:lang w:eastAsia="zh-CN"/>
        </w:rPr>
        <w:t>）</w:t>
      </w:r>
      <w:r>
        <w:rPr>
          <w:rFonts w:hint="default" w:ascii="Times New Roman" w:hAnsi="Times New Roman" w:cs="Times New Roman"/>
          <w:b/>
          <w:bCs/>
          <w:sz w:val="30"/>
          <w:szCs w:val="30"/>
          <w:lang w:val="en-US" w:eastAsia="zh-CN"/>
        </w:rPr>
        <w:t>私营部门参与农食系统气候行动的</w:t>
      </w:r>
      <w:r>
        <w:rPr>
          <w:rFonts w:hint="eastAsia" w:ascii="Times New Roman" w:hAnsi="Times New Roman" w:cs="Times New Roman"/>
          <w:b/>
          <w:bCs/>
          <w:sz w:val="30"/>
          <w:szCs w:val="30"/>
          <w:lang w:val="en-US" w:eastAsia="zh-CN"/>
        </w:rPr>
        <w:t>四种模式</w:t>
      </w:r>
    </w:p>
    <w:p w14:paraId="5C793832">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600" w:firstLineChars="200"/>
        <w:jc w:val="both"/>
        <w:textAlignment w:val="auto"/>
        <w:rPr>
          <w:rFonts w:hint="default" w:ascii="Times New Roman" w:hAnsi="Times New Roman" w:cs="Times New Roman"/>
          <w:sz w:val="30"/>
          <w:szCs w:val="30"/>
        </w:rPr>
      </w:pPr>
      <w:r>
        <w:rPr>
          <w:rFonts w:hint="default" w:ascii="Times New Roman" w:hAnsi="Times New Roman" w:cs="Times New Roman"/>
          <w:sz w:val="30"/>
          <w:szCs w:val="30"/>
          <w:lang w:val="en-US" w:eastAsia="zh-CN"/>
        </w:rPr>
        <w:t>在全球农食系统面临气候变化严峻挑战的背景下，FAO与UNDP联合推出了</w:t>
      </w:r>
      <w:r>
        <w:rPr>
          <w:rFonts w:hint="default" w:ascii="Times New Roman" w:hAnsi="Times New Roman" w:cs="Times New Roman"/>
          <w:b/>
          <w:bCs/>
          <w:sz w:val="30"/>
          <w:szCs w:val="30"/>
          <w:lang w:val="en-US" w:eastAsia="zh-CN"/>
        </w:rPr>
        <w:t>SCALA</w:t>
      </w:r>
      <w:r>
        <w:rPr>
          <w:rFonts w:hint="eastAsia" w:ascii="Times New Roman" w:hAnsi="Times New Roman" w:cs="Times New Roman"/>
          <w:sz w:val="30"/>
          <w:szCs w:val="30"/>
          <w:lang w:val="en-US" w:eastAsia="zh-CN"/>
        </w:rPr>
        <w:t>项目</w:t>
      </w:r>
      <w:r>
        <w:rPr>
          <w:rStyle w:val="11"/>
          <w:rFonts w:hint="default" w:ascii="Times New Roman" w:hAnsi="Times New Roman" w:cs="Times New Roman"/>
          <w:sz w:val="30"/>
          <w:szCs w:val="30"/>
          <w:lang w:val="en-US" w:eastAsia="zh-CN"/>
        </w:rPr>
        <w:footnoteReference w:id="8"/>
      </w:r>
      <w:r>
        <w:rPr>
          <w:rFonts w:hint="default" w:ascii="Times New Roman" w:hAnsi="Times New Roman" w:cs="Times New Roman"/>
          <w:sz w:val="30"/>
          <w:szCs w:val="30"/>
          <w:lang w:val="en-US" w:eastAsia="zh-CN"/>
        </w:rPr>
        <w:t>。该</w:t>
      </w:r>
      <w:r>
        <w:rPr>
          <w:rFonts w:hint="eastAsia" w:ascii="Times New Roman" w:hAnsi="Times New Roman" w:cs="Times New Roman"/>
          <w:sz w:val="30"/>
          <w:szCs w:val="30"/>
          <w:lang w:val="en-US" w:eastAsia="zh-CN"/>
        </w:rPr>
        <w:t>项目</w:t>
      </w:r>
      <w:r>
        <w:rPr>
          <w:rFonts w:hint="default" w:ascii="Times New Roman" w:hAnsi="Times New Roman" w:cs="Times New Roman"/>
          <w:sz w:val="30"/>
          <w:szCs w:val="30"/>
          <w:lang w:val="en-US" w:eastAsia="zh-CN"/>
        </w:rPr>
        <w:t>以国家自主贡献（NDCs）和国家适应计划（NAPs）为政策切入点，旨在通过预测气候变化对农业的影响，提出变革性适应方案。SCALA</w:t>
      </w:r>
      <w:r>
        <w:rPr>
          <w:rFonts w:hint="eastAsia" w:ascii="Times New Roman" w:hAnsi="Times New Roman" w:cs="Times New Roman"/>
          <w:sz w:val="30"/>
          <w:szCs w:val="30"/>
          <w:lang w:val="en-US" w:eastAsia="zh-CN"/>
        </w:rPr>
        <w:t>项目</w:t>
      </w:r>
      <w:r>
        <w:rPr>
          <w:rFonts w:hint="default" w:ascii="Times New Roman" w:hAnsi="Times New Roman" w:cs="Times New Roman"/>
          <w:sz w:val="30"/>
          <w:szCs w:val="30"/>
          <w:lang w:val="en-US" w:eastAsia="zh-CN"/>
        </w:rPr>
        <w:t>实施原则中明确强调</w:t>
      </w:r>
      <w:r>
        <w:rPr>
          <w:rFonts w:hint="eastAsia" w:ascii="仿宋_GB2312" w:hAnsi="仿宋_GB2312" w:eastAsia="仿宋_GB2312" w:cs="仿宋_GB2312"/>
          <w:sz w:val="30"/>
          <w:szCs w:val="30"/>
          <w:lang w:val="en-US" w:eastAsia="zh-CN"/>
        </w:rPr>
        <w:t>了“私营部门参与”的重要</w:t>
      </w:r>
      <w:r>
        <w:rPr>
          <w:rFonts w:hint="default" w:ascii="Times New Roman" w:hAnsi="Times New Roman" w:cs="Times New Roman"/>
          <w:sz w:val="30"/>
          <w:szCs w:val="30"/>
          <w:lang w:val="en-US" w:eastAsia="zh-CN"/>
        </w:rPr>
        <w:t>性。</w:t>
      </w:r>
      <w:r>
        <w:rPr>
          <w:rFonts w:hint="default" w:ascii="Times New Roman" w:hAnsi="Times New Roman" w:cs="Times New Roman"/>
          <w:sz w:val="30"/>
          <w:szCs w:val="30"/>
        </w:rPr>
        <w:t>在农食系统气候行动中，私营部门的参与是企业、投资者等非公共实体通过资本投入、技术创新和商业模式革新</w:t>
      </w:r>
      <w:r>
        <w:rPr>
          <w:rFonts w:hint="default" w:ascii="Times New Roman" w:hAnsi="Times New Roman" w:cs="Times New Roman"/>
          <w:sz w:val="30"/>
          <w:szCs w:val="30"/>
          <w:lang w:val="en-US" w:eastAsia="zh-CN"/>
        </w:rPr>
        <w:t>等</w:t>
      </w:r>
      <w:r>
        <w:rPr>
          <w:rFonts w:hint="default" w:ascii="Times New Roman" w:hAnsi="Times New Roman" w:cs="Times New Roman"/>
          <w:sz w:val="30"/>
          <w:szCs w:val="30"/>
        </w:rPr>
        <w:t>，推动农业食品系统向低碳化、气候适应型转型。</w:t>
      </w:r>
      <w:r>
        <w:rPr>
          <w:rFonts w:hint="default" w:ascii="Times New Roman" w:hAnsi="Times New Roman" w:cs="Times New Roman"/>
          <w:sz w:val="30"/>
          <w:szCs w:val="30"/>
          <w:lang w:val="en-US" w:eastAsia="zh-CN"/>
        </w:rPr>
        <w:t>根据</w:t>
      </w:r>
      <w:r>
        <w:rPr>
          <w:rFonts w:hint="default" w:ascii="Times New Roman" w:hAnsi="Times New Roman" w:cs="Times New Roman"/>
          <w:sz w:val="30"/>
          <w:szCs w:val="30"/>
        </w:rPr>
        <w:t>私营部门对气候议程的兴趣、相关性和重要性，</w:t>
      </w:r>
      <w:r>
        <w:rPr>
          <w:rFonts w:hint="default" w:ascii="Times New Roman" w:hAnsi="Times New Roman" w:cs="Times New Roman"/>
          <w:sz w:val="30"/>
          <w:szCs w:val="30"/>
          <w:lang w:val="en-US" w:eastAsia="zh-CN"/>
        </w:rPr>
        <w:t>可</w:t>
      </w:r>
      <w:r>
        <w:rPr>
          <w:rFonts w:hint="default" w:ascii="Times New Roman" w:hAnsi="Times New Roman" w:cs="Times New Roman"/>
          <w:sz w:val="30"/>
          <w:szCs w:val="30"/>
        </w:rPr>
        <w:t>采取不同程度的</w:t>
      </w:r>
      <w:r>
        <w:rPr>
          <w:rFonts w:hint="default" w:ascii="Times New Roman" w:hAnsi="Times New Roman" w:cs="Times New Roman"/>
          <w:sz w:val="30"/>
          <w:szCs w:val="30"/>
          <w:lang w:val="en-US" w:eastAsia="zh-CN"/>
        </w:rPr>
        <w:t>参与</w:t>
      </w:r>
      <w:r>
        <w:rPr>
          <w:rFonts w:hint="default" w:ascii="Times New Roman" w:hAnsi="Times New Roman" w:cs="Times New Roman"/>
          <w:sz w:val="30"/>
          <w:szCs w:val="30"/>
        </w:rPr>
        <w:t>方式</w:t>
      </w:r>
      <w:r>
        <w:rPr>
          <w:rFonts w:hint="default" w:ascii="Times New Roman" w:hAnsi="Times New Roman" w:cs="Times New Roman"/>
          <w:sz w:val="30"/>
          <w:szCs w:val="30"/>
          <w:lang w:eastAsia="zh-CN"/>
        </w:rPr>
        <w:t>，</w:t>
      </w:r>
      <w:r>
        <w:rPr>
          <w:rFonts w:hint="default" w:ascii="Times New Roman" w:hAnsi="Times New Roman" w:cs="Times New Roman"/>
          <w:sz w:val="30"/>
          <w:szCs w:val="30"/>
          <w:lang w:val="en-US" w:eastAsia="zh-CN"/>
        </w:rPr>
        <w:t>在</w:t>
      </w:r>
      <w:r>
        <w:rPr>
          <w:rFonts w:hint="default" w:ascii="Times New Roman" w:hAnsi="Times New Roman" w:cs="Times New Roman"/>
          <w:sz w:val="30"/>
          <w:szCs w:val="30"/>
        </w:rPr>
        <w:t>SCALA</w:t>
      </w:r>
      <w:r>
        <w:rPr>
          <w:rFonts w:hint="eastAsia" w:ascii="Times New Roman" w:hAnsi="Times New Roman" w:cs="Times New Roman"/>
          <w:sz w:val="30"/>
          <w:szCs w:val="30"/>
          <w:lang w:val="en-US" w:eastAsia="zh-CN"/>
        </w:rPr>
        <w:t>项目中</w:t>
      </w:r>
      <w:r>
        <w:rPr>
          <w:rFonts w:hint="default" w:ascii="Times New Roman" w:hAnsi="Times New Roman" w:cs="Times New Roman"/>
          <w:sz w:val="30"/>
          <w:szCs w:val="30"/>
        </w:rPr>
        <w:t>，</w:t>
      </w:r>
      <w:r>
        <w:rPr>
          <w:rFonts w:hint="eastAsia" w:ascii="Times New Roman" w:hAnsi="Times New Roman" w:cs="Times New Roman"/>
          <w:sz w:val="30"/>
          <w:szCs w:val="30"/>
          <w:lang w:val="en-US" w:eastAsia="zh-CN"/>
        </w:rPr>
        <w:t>私营部门</w:t>
      </w:r>
      <w:r>
        <w:rPr>
          <w:rFonts w:hint="default" w:ascii="Times New Roman" w:hAnsi="Times New Roman" w:cs="Times New Roman"/>
          <w:sz w:val="30"/>
          <w:szCs w:val="30"/>
          <w:lang w:val="en-US" w:eastAsia="zh-CN"/>
        </w:rPr>
        <w:t>有</w:t>
      </w:r>
      <w:r>
        <w:rPr>
          <w:rFonts w:hint="default" w:ascii="Times New Roman" w:hAnsi="Times New Roman" w:cs="Times New Roman"/>
          <w:sz w:val="30"/>
          <w:szCs w:val="30"/>
        </w:rPr>
        <w:t>四种可能的</w:t>
      </w:r>
      <w:r>
        <w:rPr>
          <w:rFonts w:hint="default" w:ascii="Times New Roman" w:hAnsi="Times New Roman" w:cs="Times New Roman"/>
          <w:sz w:val="30"/>
          <w:szCs w:val="30"/>
          <w:lang w:val="en-US" w:eastAsia="zh-CN"/>
        </w:rPr>
        <w:t>参与</w:t>
      </w:r>
      <w:r>
        <w:rPr>
          <w:rFonts w:hint="default" w:ascii="Times New Roman" w:hAnsi="Times New Roman" w:cs="Times New Roman"/>
          <w:sz w:val="30"/>
          <w:szCs w:val="30"/>
        </w:rPr>
        <w:t>模式</w:t>
      </w:r>
      <w:r>
        <w:rPr>
          <w:rStyle w:val="11"/>
          <w:rFonts w:hint="default" w:ascii="Times New Roman" w:hAnsi="Times New Roman" w:cs="Times New Roman"/>
          <w:sz w:val="30"/>
          <w:szCs w:val="30"/>
        </w:rPr>
        <w:footnoteReference w:id="9"/>
      </w:r>
      <w:r>
        <w:rPr>
          <w:rFonts w:hint="eastAsia" w:ascii="Times New Roman" w:hAnsi="Times New Roman" w:cs="Times New Roman"/>
          <w:sz w:val="30"/>
          <w:szCs w:val="30"/>
          <w:lang w:eastAsia="zh-CN"/>
        </w:rPr>
        <w:t>（</w:t>
      </w:r>
      <w:r>
        <w:rPr>
          <w:rFonts w:hint="eastAsia" w:ascii="Times New Roman" w:hAnsi="Times New Roman" w:cs="Times New Roman"/>
          <w:sz w:val="30"/>
          <w:szCs w:val="30"/>
          <w:lang w:val="en-US" w:eastAsia="zh-CN"/>
        </w:rPr>
        <w:t>见表1</w:t>
      </w:r>
      <w:r>
        <w:rPr>
          <w:rFonts w:hint="eastAsia" w:ascii="Times New Roman" w:hAnsi="Times New Roman" w:cs="Times New Roman"/>
          <w:sz w:val="30"/>
          <w:szCs w:val="30"/>
          <w:lang w:eastAsia="zh-CN"/>
        </w:rPr>
        <w:t>）</w:t>
      </w:r>
      <w:r>
        <w:rPr>
          <w:rFonts w:hint="default" w:ascii="Times New Roman" w:hAnsi="Times New Roman" w:cs="Times New Roman"/>
          <w:sz w:val="30"/>
          <w:szCs w:val="30"/>
        </w:rPr>
        <w:t>。</w:t>
      </w:r>
    </w:p>
    <w:p w14:paraId="229AAF01">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602" w:firstLineChars="200"/>
        <w:jc w:val="center"/>
        <w:textAlignment w:val="auto"/>
        <w:rPr>
          <w:rFonts w:hint="default" w:ascii="Times New Roman" w:hAnsi="Times New Roman" w:eastAsia="仿宋" w:cs="Times New Roman"/>
          <w:b/>
          <w:bCs/>
          <w:sz w:val="30"/>
          <w:szCs w:val="30"/>
          <w:lang w:val="en-US" w:eastAsia="zh-CN"/>
        </w:rPr>
      </w:pPr>
      <w:r>
        <w:rPr>
          <w:rFonts w:hint="eastAsia" w:ascii="Times New Roman" w:hAnsi="Times New Roman" w:cs="Times New Roman"/>
          <w:b/>
          <w:bCs/>
          <w:sz w:val="30"/>
          <w:szCs w:val="30"/>
          <w:lang w:val="en-US" w:eastAsia="zh-CN"/>
        </w:rPr>
        <w:t>表1 私营部门参与气候行动的参与模式</w:t>
      </w:r>
    </w:p>
    <w:tbl>
      <w:tblPr>
        <w:tblStyle w:val="7"/>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808"/>
        <w:gridCol w:w="1955"/>
        <w:gridCol w:w="1418"/>
        <w:gridCol w:w="4365"/>
      </w:tblGrid>
      <w:tr w14:paraId="641493D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 w:type="dxa"/>
            <w:bottom w:w="0" w:type="dxa"/>
            <w:right w:w="10" w:type="dxa"/>
          </w:tblCellMar>
        </w:tblPrEx>
        <w:trPr>
          <w:trHeight w:val="711" w:hRule="atLeast"/>
        </w:trPr>
        <w:tc>
          <w:tcPr>
            <w:tcW w:w="808" w:type="dxa"/>
            <w:tcBorders>
              <w:top w:val="single" w:color="000000" w:sz="4" w:space="0"/>
              <w:bottom w:val="single" w:color="000000" w:sz="4" w:space="0"/>
              <w:right w:val="single" w:color="000000" w:sz="4" w:space="0"/>
              <w:tl2br w:val="nil"/>
            </w:tcBorders>
            <w:shd w:val="clear" w:color="auto" w:fill="FFFFFF"/>
            <w:tcMar>
              <w:top w:w="60" w:type="dxa"/>
              <w:left w:w="120" w:type="dxa"/>
              <w:bottom w:w="30" w:type="dxa"/>
              <w:right w:w="120" w:type="dxa"/>
            </w:tcMar>
            <w:vAlign w:val="center"/>
          </w:tcPr>
          <w:p w14:paraId="18E30B13">
            <w:pPr>
              <w:spacing w:before="120" w:after="120" w:line="288" w:lineRule="auto"/>
              <w:ind w:left="0"/>
              <w:jc w:val="center"/>
              <w:rPr>
                <w:rFonts w:hint="default" w:ascii="Times New Roman" w:hAnsi="Times New Roman" w:eastAsia="仿宋_GB2312" w:cs="Times New Roman"/>
                <w:b/>
                <w:bCs/>
                <w:color w:val="000000"/>
                <w:sz w:val="22"/>
                <w:szCs w:val="22"/>
              </w:rPr>
            </w:pPr>
            <w:r>
              <w:rPr>
                <w:rFonts w:hint="default" w:ascii="Times New Roman" w:hAnsi="Times New Roman" w:eastAsia="仿宋_GB2312" w:cs="Times New Roman"/>
                <w:b/>
                <w:bCs/>
                <w:color w:val="000000"/>
                <w:sz w:val="22"/>
                <w:szCs w:val="22"/>
              </w:rPr>
              <w:t>模式</w:t>
            </w:r>
          </w:p>
        </w:tc>
        <w:tc>
          <w:tcPr>
            <w:tcW w:w="195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731ACE21">
            <w:pPr>
              <w:spacing w:before="120" w:after="120" w:line="288" w:lineRule="auto"/>
              <w:ind w:left="0"/>
              <w:jc w:val="center"/>
              <w:rPr>
                <w:rFonts w:hint="default" w:ascii="Times New Roman" w:hAnsi="Times New Roman" w:eastAsia="仿宋_GB2312" w:cs="Times New Roman"/>
                <w:b/>
                <w:bCs/>
                <w:color w:val="000000"/>
                <w:sz w:val="22"/>
                <w:szCs w:val="22"/>
              </w:rPr>
            </w:pPr>
            <w:r>
              <w:rPr>
                <w:rFonts w:hint="default" w:ascii="Times New Roman" w:hAnsi="Times New Roman" w:eastAsia="仿宋_GB2312" w:cs="Times New Roman"/>
                <w:b/>
                <w:bCs/>
                <w:color w:val="000000"/>
                <w:sz w:val="22"/>
                <w:szCs w:val="22"/>
              </w:rPr>
              <w:t>合作内容</w:t>
            </w:r>
          </w:p>
        </w:tc>
        <w:tc>
          <w:tcPr>
            <w:tcW w:w="141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4E678F37">
            <w:pPr>
              <w:spacing w:before="120" w:after="120" w:line="288" w:lineRule="auto"/>
              <w:ind w:left="0"/>
              <w:jc w:val="center"/>
              <w:rPr>
                <w:rFonts w:hint="default" w:ascii="Times New Roman" w:hAnsi="Times New Roman" w:eastAsia="仿宋_GB2312" w:cs="Times New Roman"/>
                <w:b/>
                <w:bCs/>
                <w:color w:val="000000"/>
                <w:sz w:val="22"/>
                <w:szCs w:val="22"/>
              </w:rPr>
            </w:pPr>
            <w:r>
              <w:rPr>
                <w:rFonts w:hint="default" w:ascii="Times New Roman" w:hAnsi="Times New Roman" w:eastAsia="仿宋_GB2312" w:cs="Times New Roman"/>
                <w:b/>
                <w:bCs/>
                <w:color w:val="000000"/>
                <w:sz w:val="22"/>
                <w:szCs w:val="22"/>
              </w:rPr>
              <w:t>目标</w:t>
            </w:r>
          </w:p>
        </w:tc>
        <w:tc>
          <w:tcPr>
            <w:tcW w:w="4365" w:type="dxa"/>
            <w:tcBorders>
              <w:top w:val="single" w:color="000000" w:sz="4" w:space="0"/>
              <w:left w:val="single" w:color="000000" w:sz="4" w:space="0"/>
              <w:bottom w:val="single" w:color="000000" w:sz="4" w:space="0"/>
            </w:tcBorders>
            <w:shd w:val="clear" w:color="auto" w:fill="FFFFFF"/>
            <w:tcMar>
              <w:top w:w="60" w:type="dxa"/>
              <w:left w:w="120" w:type="dxa"/>
              <w:bottom w:w="30" w:type="dxa"/>
              <w:right w:w="120" w:type="dxa"/>
            </w:tcMar>
            <w:vAlign w:val="center"/>
          </w:tcPr>
          <w:p w14:paraId="66A08FB7">
            <w:pPr>
              <w:spacing w:before="120" w:after="120" w:line="288" w:lineRule="auto"/>
              <w:ind w:left="0"/>
              <w:jc w:val="center"/>
              <w:rPr>
                <w:rFonts w:hint="default" w:ascii="Times New Roman" w:hAnsi="Times New Roman" w:eastAsia="仿宋_GB2312" w:cs="Times New Roman"/>
                <w:b/>
                <w:bCs/>
                <w:color w:val="000000"/>
                <w:sz w:val="22"/>
                <w:szCs w:val="22"/>
                <w:lang w:val="en-US" w:eastAsia="zh-CN"/>
              </w:rPr>
            </w:pPr>
            <w:r>
              <w:rPr>
                <w:rFonts w:hint="eastAsia" w:ascii="Times New Roman" w:hAnsi="Times New Roman" w:eastAsia="仿宋_GB2312" w:cs="Times New Roman"/>
                <w:b/>
                <w:bCs/>
                <w:color w:val="000000"/>
                <w:sz w:val="22"/>
                <w:szCs w:val="22"/>
                <w:lang w:val="en-US" w:eastAsia="zh-CN"/>
              </w:rPr>
              <w:t>案例</w:t>
            </w:r>
          </w:p>
        </w:tc>
      </w:tr>
      <w:tr w14:paraId="3587F82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808" w:type="dxa"/>
            <w:tcBorders>
              <w:top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2CF12817">
            <w:pPr>
              <w:spacing w:before="120" w:after="120" w:line="288" w:lineRule="auto"/>
              <w:ind w:left="0"/>
              <w:jc w:val="center"/>
              <w:rPr>
                <w:rFonts w:hint="default" w:ascii="Times New Roman" w:hAnsi="Times New Roman" w:eastAsia="仿宋_GB2312" w:cs="Times New Roman"/>
                <w:b w:val="0"/>
                <w:color w:val="000000"/>
                <w:sz w:val="22"/>
                <w:szCs w:val="22"/>
              </w:rPr>
            </w:pPr>
            <w:r>
              <w:rPr>
                <w:rFonts w:hint="default" w:ascii="Times New Roman" w:hAnsi="Times New Roman" w:eastAsia="仿宋_GB2312" w:cs="Times New Roman"/>
                <w:b w:val="0"/>
                <w:color w:val="000000"/>
                <w:sz w:val="22"/>
                <w:szCs w:val="22"/>
              </w:rPr>
              <w:t>共同创建</w:t>
            </w:r>
          </w:p>
        </w:tc>
        <w:tc>
          <w:tcPr>
            <w:tcW w:w="195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5E315BDA">
            <w:pPr>
              <w:spacing w:before="120" w:after="120" w:line="288" w:lineRule="auto"/>
              <w:ind w:left="0"/>
              <w:jc w:val="both"/>
              <w:rPr>
                <w:rFonts w:hint="eastAsia" w:ascii="Times New Roman" w:hAnsi="Times New Roman" w:eastAsia="仿宋_GB2312" w:cs="Times New Roman"/>
                <w:b w:val="0"/>
                <w:color w:val="000000"/>
                <w:sz w:val="22"/>
                <w:szCs w:val="22"/>
                <w:lang w:eastAsia="zh-CN"/>
              </w:rPr>
            </w:pPr>
            <w:r>
              <w:rPr>
                <w:rFonts w:hint="default" w:ascii="Times New Roman" w:hAnsi="Times New Roman" w:eastAsia="仿宋_GB2312" w:cs="Times New Roman"/>
                <w:b w:val="0"/>
                <w:color w:val="000000"/>
                <w:sz w:val="22"/>
                <w:szCs w:val="22"/>
              </w:rPr>
              <w:t>参与制定投资概念说明，扩大气候行动规模</w:t>
            </w:r>
            <w:r>
              <w:rPr>
                <w:rFonts w:hint="eastAsia" w:ascii="Times New Roman" w:hAnsi="Times New Roman" w:eastAsia="仿宋_GB2312" w:cs="Times New Roman"/>
                <w:b w:val="0"/>
                <w:color w:val="000000"/>
                <w:sz w:val="22"/>
                <w:szCs w:val="22"/>
                <w:lang w:eastAsia="zh-CN"/>
              </w:rPr>
              <w:t>。</w:t>
            </w:r>
          </w:p>
        </w:tc>
        <w:tc>
          <w:tcPr>
            <w:tcW w:w="141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70904666">
            <w:pPr>
              <w:spacing w:before="120" w:after="120" w:line="288" w:lineRule="auto"/>
              <w:ind w:left="0"/>
              <w:jc w:val="both"/>
              <w:rPr>
                <w:rFonts w:hint="default" w:ascii="Times New Roman" w:hAnsi="Times New Roman" w:eastAsia="仿宋_GB2312" w:cs="Times New Roman"/>
                <w:b w:val="0"/>
                <w:color w:val="000000"/>
                <w:sz w:val="22"/>
                <w:szCs w:val="22"/>
              </w:rPr>
            </w:pPr>
            <w:r>
              <w:rPr>
                <w:rFonts w:hint="default" w:ascii="Times New Roman" w:hAnsi="Times New Roman" w:eastAsia="仿宋_GB2312" w:cs="Times New Roman"/>
                <w:b w:val="0"/>
                <w:color w:val="000000"/>
                <w:sz w:val="22"/>
                <w:szCs w:val="22"/>
              </w:rPr>
              <w:t>推动气候行动规模化发展</w:t>
            </w:r>
          </w:p>
        </w:tc>
        <w:tc>
          <w:tcPr>
            <w:tcW w:w="4365" w:type="dxa"/>
            <w:tcBorders>
              <w:top w:val="single" w:color="000000" w:sz="4" w:space="0"/>
              <w:left w:val="single" w:color="000000" w:sz="4" w:space="0"/>
              <w:bottom w:val="single" w:color="000000" w:sz="4" w:space="0"/>
            </w:tcBorders>
            <w:shd w:val="clear" w:color="auto" w:fill="FFFFFF"/>
            <w:tcMar>
              <w:top w:w="60" w:type="dxa"/>
              <w:left w:w="120" w:type="dxa"/>
              <w:bottom w:w="30" w:type="dxa"/>
              <w:right w:w="120" w:type="dxa"/>
            </w:tcMar>
            <w:vAlign w:val="center"/>
          </w:tcPr>
          <w:p w14:paraId="4D344199">
            <w:pPr>
              <w:spacing w:before="120" w:after="120" w:line="288" w:lineRule="auto"/>
              <w:ind w:left="0"/>
              <w:jc w:val="both"/>
              <w:rPr>
                <w:rFonts w:hint="default" w:ascii="Times New Roman" w:hAnsi="Times New Roman" w:eastAsia="仿宋_GB2312" w:cs="Times New Roman"/>
                <w:b w:val="0"/>
                <w:color w:val="000000"/>
                <w:sz w:val="22"/>
                <w:szCs w:val="22"/>
              </w:rPr>
            </w:pPr>
            <w:r>
              <w:rPr>
                <w:rFonts w:hint="eastAsia" w:ascii="Times New Roman" w:hAnsi="Times New Roman" w:eastAsia="仿宋_GB2312" w:cs="Times New Roman"/>
                <w:b w:val="0"/>
                <w:color w:val="000000"/>
                <w:sz w:val="22"/>
                <w:szCs w:val="22"/>
                <w:lang w:val="en-US" w:eastAsia="zh-CN"/>
              </w:rPr>
              <w:t>塞内加尔小米价值链中，先正达基金会（Syngenta Foundation）与SCALA合作开发投资概念说明，推动气候智能农业实践的规模化应用。</w:t>
            </w:r>
          </w:p>
        </w:tc>
      </w:tr>
      <w:tr w14:paraId="7F89842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 w:type="dxa"/>
            <w:bottom w:w="0" w:type="dxa"/>
            <w:right w:w="10" w:type="dxa"/>
          </w:tblCellMar>
        </w:tblPrEx>
        <w:trPr>
          <w:trHeight w:val="193" w:hRule="atLeast"/>
        </w:trPr>
        <w:tc>
          <w:tcPr>
            <w:tcW w:w="808" w:type="dxa"/>
            <w:tcBorders>
              <w:top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73BE0F7B">
            <w:pPr>
              <w:spacing w:before="120" w:after="120" w:line="288" w:lineRule="auto"/>
              <w:ind w:left="0"/>
              <w:jc w:val="center"/>
              <w:rPr>
                <w:rFonts w:hint="default" w:ascii="Times New Roman" w:hAnsi="Times New Roman" w:eastAsia="仿宋_GB2312" w:cs="Times New Roman"/>
                <w:b w:val="0"/>
                <w:color w:val="000000"/>
                <w:sz w:val="22"/>
                <w:szCs w:val="22"/>
              </w:rPr>
            </w:pPr>
            <w:r>
              <w:rPr>
                <w:rFonts w:hint="default" w:ascii="Times New Roman" w:hAnsi="Times New Roman" w:eastAsia="仿宋_GB2312" w:cs="Times New Roman"/>
                <w:b w:val="0"/>
                <w:color w:val="000000"/>
                <w:sz w:val="22"/>
                <w:szCs w:val="22"/>
              </w:rPr>
              <w:t>协作</w:t>
            </w:r>
          </w:p>
        </w:tc>
        <w:tc>
          <w:tcPr>
            <w:tcW w:w="195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361A9DEC">
            <w:pPr>
              <w:spacing w:before="120" w:after="120" w:line="288" w:lineRule="auto"/>
              <w:ind w:left="0"/>
              <w:jc w:val="both"/>
              <w:rPr>
                <w:rFonts w:hint="default" w:ascii="Times New Roman" w:hAnsi="Times New Roman" w:eastAsia="仿宋_GB2312" w:cs="Times New Roman"/>
                <w:b w:val="0"/>
                <w:color w:val="000000"/>
                <w:sz w:val="22"/>
                <w:szCs w:val="22"/>
                <w:lang w:val="en-US" w:eastAsia="zh-CN"/>
              </w:rPr>
            </w:pPr>
            <w:r>
              <w:rPr>
                <w:rFonts w:hint="default" w:ascii="Times New Roman" w:hAnsi="Times New Roman" w:eastAsia="仿宋_GB2312" w:cs="Times New Roman"/>
                <w:b w:val="0"/>
                <w:color w:val="000000"/>
                <w:sz w:val="22"/>
                <w:szCs w:val="22"/>
              </w:rPr>
              <w:t>提供应对气候风险的适应和缓解方案</w:t>
            </w:r>
            <w:r>
              <w:rPr>
                <w:rFonts w:hint="eastAsia" w:ascii="Times New Roman" w:hAnsi="Times New Roman" w:eastAsia="仿宋_GB2312" w:cs="Times New Roman"/>
                <w:b w:val="0"/>
                <w:color w:val="000000"/>
                <w:sz w:val="22"/>
                <w:szCs w:val="22"/>
                <w:lang w:eastAsia="zh-CN"/>
              </w:rPr>
              <w:t>，包括提供融资、技术服务</w:t>
            </w:r>
            <w:r>
              <w:rPr>
                <w:rFonts w:hint="eastAsia" w:ascii="Times New Roman" w:hAnsi="Times New Roman" w:eastAsia="仿宋_GB2312" w:cs="Times New Roman"/>
                <w:b w:val="0"/>
                <w:color w:val="000000"/>
                <w:sz w:val="22"/>
                <w:szCs w:val="22"/>
                <w:lang w:val="en-US" w:eastAsia="zh-CN"/>
              </w:rPr>
              <w:t>等行动。</w:t>
            </w:r>
          </w:p>
        </w:tc>
        <w:tc>
          <w:tcPr>
            <w:tcW w:w="141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54FEAB9F">
            <w:pPr>
              <w:spacing w:before="120" w:after="120" w:line="288" w:lineRule="auto"/>
              <w:ind w:left="0"/>
              <w:jc w:val="both"/>
              <w:rPr>
                <w:rFonts w:hint="default" w:ascii="Times New Roman" w:hAnsi="Times New Roman" w:eastAsia="仿宋_GB2312" w:cs="Times New Roman"/>
                <w:b w:val="0"/>
                <w:color w:val="000000"/>
                <w:sz w:val="22"/>
                <w:szCs w:val="22"/>
              </w:rPr>
            </w:pPr>
            <w:r>
              <w:rPr>
                <w:rFonts w:hint="default" w:ascii="Times New Roman" w:hAnsi="Times New Roman" w:eastAsia="仿宋_GB2312" w:cs="Times New Roman"/>
                <w:b w:val="0"/>
                <w:color w:val="000000"/>
                <w:sz w:val="22"/>
                <w:szCs w:val="22"/>
              </w:rPr>
              <w:t>应对气候风险</w:t>
            </w:r>
          </w:p>
        </w:tc>
        <w:tc>
          <w:tcPr>
            <w:tcW w:w="4365" w:type="dxa"/>
            <w:tcBorders>
              <w:top w:val="single" w:color="000000" w:sz="4" w:space="0"/>
              <w:left w:val="single" w:color="000000" w:sz="4" w:space="0"/>
              <w:bottom w:val="single" w:color="000000" w:sz="4" w:space="0"/>
            </w:tcBorders>
            <w:shd w:val="clear" w:color="auto" w:fill="FFFFFF"/>
            <w:tcMar>
              <w:top w:w="60" w:type="dxa"/>
              <w:left w:w="120" w:type="dxa"/>
              <w:bottom w:w="30" w:type="dxa"/>
              <w:right w:w="120" w:type="dxa"/>
            </w:tcMar>
            <w:vAlign w:val="center"/>
          </w:tcPr>
          <w:p w14:paraId="2FEF503D">
            <w:pPr>
              <w:spacing w:before="120" w:after="120" w:line="288" w:lineRule="auto"/>
              <w:ind w:left="0"/>
              <w:jc w:val="both"/>
              <w:rPr>
                <w:rFonts w:hint="eastAsia" w:ascii="Times New Roman" w:hAnsi="Times New Roman" w:eastAsia="仿宋_GB2312" w:cs="Times New Roman"/>
                <w:b w:val="0"/>
                <w:color w:val="000000"/>
                <w:sz w:val="22"/>
                <w:szCs w:val="22"/>
                <w:lang w:eastAsia="zh-CN"/>
              </w:rPr>
            </w:pPr>
            <w:r>
              <w:rPr>
                <w:rFonts w:hint="default" w:ascii="Times New Roman" w:hAnsi="Times New Roman" w:eastAsia="仿宋_GB2312" w:cs="Times New Roman"/>
                <w:b w:val="0"/>
                <w:color w:val="000000"/>
                <w:sz w:val="22"/>
                <w:szCs w:val="22"/>
              </w:rPr>
              <w:t>瓦克・恩古纳小米网络（Wack Ngouna Millet Network）协调生产者参与气候适应型农业项目，协助落实灌溉系统改造和作物品种改良方案</w:t>
            </w:r>
            <w:r>
              <w:rPr>
                <w:rFonts w:hint="eastAsia" w:ascii="Times New Roman" w:hAnsi="Times New Roman" w:eastAsia="仿宋_GB2312" w:cs="Times New Roman"/>
                <w:b w:val="0"/>
                <w:color w:val="000000"/>
                <w:sz w:val="22"/>
                <w:szCs w:val="22"/>
                <w:lang w:eastAsia="zh-CN"/>
              </w:rPr>
              <w:t>。</w:t>
            </w:r>
          </w:p>
        </w:tc>
      </w:tr>
      <w:tr w14:paraId="0D56974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 w:type="dxa"/>
            <w:bottom w:w="0" w:type="dxa"/>
            <w:right w:w="10" w:type="dxa"/>
          </w:tblCellMar>
        </w:tblPrEx>
        <w:tc>
          <w:tcPr>
            <w:tcW w:w="808" w:type="dxa"/>
            <w:tcBorders>
              <w:top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43E84430">
            <w:pPr>
              <w:spacing w:before="120" w:after="120" w:line="288" w:lineRule="auto"/>
              <w:ind w:left="0"/>
              <w:jc w:val="center"/>
              <w:rPr>
                <w:rFonts w:hint="default" w:ascii="Times New Roman" w:hAnsi="Times New Roman" w:eastAsia="仿宋_GB2312" w:cs="Times New Roman"/>
                <w:b w:val="0"/>
                <w:color w:val="000000"/>
                <w:sz w:val="22"/>
                <w:szCs w:val="22"/>
              </w:rPr>
            </w:pPr>
            <w:r>
              <w:rPr>
                <w:rFonts w:hint="default" w:ascii="Times New Roman" w:hAnsi="Times New Roman" w:eastAsia="仿宋_GB2312" w:cs="Times New Roman"/>
                <w:b w:val="0"/>
                <w:color w:val="000000"/>
                <w:sz w:val="22"/>
                <w:szCs w:val="22"/>
              </w:rPr>
              <w:t>咨询</w:t>
            </w:r>
          </w:p>
        </w:tc>
        <w:tc>
          <w:tcPr>
            <w:tcW w:w="195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5CBC2CFA">
            <w:pPr>
              <w:spacing w:before="120" w:after="120" w:line="288" w:lineRule="auto"/>
              <w:ind w:left="0"/>
              <w:jc w:val="both"/>
              <w:rPr>
                <w:rFonts w:hint="default" w:ascii="Times New Roman" w:hAnsi="Times New Roman" w:eastAsia="仿宋_GB2312" w:cs="Times New Roman"/>
                <w:b w:val="0"/>
                <w:color w:val="000000"/>
                <w:sz w:val="22"/>
                <w:szCs w:val="22"/>
              </w:rPr>
            </w:pPr>
            <w:r>
              <w:rPr>
                <w:rFonts w:hint="default" w:ascii="Times New Roman" w:hAnsi="Times New Roman" w:eastAsia="仿宋_GB2312" w:cs="Times New Roman"/>
                <w:b w:val="0"/>
                <w:color w:val="000000"/>
                <w:sz w:val="22"/>
                <w:szCs w:val="22"/>
              </w:rPr>
              <w:t>评估市场机会、障碍和风险</w:t>
            </w:r>
          </w:p>
        </w:tc>
        <w:tc>
          <w:tcPr>
            <w:tcW w:w="141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739D6575">
            <w:pPr>
              <w:spacing w:before="120" w:after="120" w:line="288" w:lineRule="auto"/>
              <w:ind w:left="0"/>
              <w:jc w:val="both"/>
              <w:rPr>
                <w:rFonts w:hint="default" w:ascii="Times New Roman" w:hAnsi="Times New Roman" w:eastAsia="仿宋_GB2312" w:cs="Times New Roman"/>
                <w:b w:val="0"/>
                <w:color w:val="000000"/>
                <w:sz w:val="22"/>
                <w:szCs w:val="22"/>
              </w:rPr>
            </w:pPr>
            <w:r>
              <w:rPr>
                <w:rFonts w:hint="default" w:ascii="Times New Roman" w:hAnsi="Times New Roman" w:eastAsia="仿宋_GB2312" w:cs="Times New Roman"/>
                <w:b w:val="0"/>
                <w:color w:val="000000"/>
                <w:sz w:val="22"/>
                <w:szCs w:val="22"/>
              </w:rPr>
              <w:t>获取市场信息，辅助决策</w:t>
            </w:r>
          </w:p>
        </w:tc>
        <w:tc>
          <w:tcPr>
            <w:tcW w:w="4365" w:type="dxa"/>
            <w:tcBorders>
              <w:top w:val="single" w:color="000000" w:sz="4" w:space="0"/>
              <w:left w:val="single" w:color="000000" w:sz="4" w:space="0"/>
              <w:bottom w:val="single" w:color="000000" w:sz="4" w:space="0"/>
            </w:tcBorders>
            <w:shd w:val="clear" w:color="auto" w:fill="FFFFFF"/>
            <w:tcMar>
              <w:top w:w="60" w:type="dxa"/>
              <w:left w:w="120" w:type="dxa"/>
              <w:bottom w:w="30" w:type="dxa"/>
              <w:right w:w="120" w:type="dxa"/>
            </w:tcMar>
            <w:vAlign w:val="center"/>
          </w:tcPr>
          <w:p w14:paraId="7E16BEF5">
            <w:pPr>
              <w:spacing w:before="120" w:after="120" w:line="288" w:lineRule="auto"/>
              <w:ind w:left="0"/>
              <w:jc w:val="both"/>
              <w:rPr>
                <w:rFonts w:hint="eastAsia" w:ascii="Times New Roman" w:hAnsi="Times New Roman" w:eastAsia="仿宋_GB2312" w:cs="Times New Roman"/>
                <w:b w:val="0"/>
                <w:color w:val="000000"/>
                <w:sz w:val="22"/>
                <w:szCs w:val="22"/>
                <w:lang w:eastAsia="zh-CN"/>
              </w:rPr>
            </w:pPr>
            <w:r>
              <w:rPr>
                <w:rFonts w:hint="default" w:ascii="Times New Roman" w:hAnsi="Times New Roman" w:eastAsia="仿宋_GB2312" w:cs="Times New Roman"/>
                <w:b w:val="0"/>
                <w:color w:val="000000"/>
                <w:sz w:val="22"/>
                <w:szCs w:val="22"/>
              </w:rPr>
              <w:t>塞内加尔Mamelles Jaboot加工厂</w:t>
            </w:r>
            <w:r>
              <w:rPr>
                <w:rFonts w:hint="eastAsia" w:ascii="Times New Roman" w:hAnsi="Times New Roman" w:eastAsia="仿宋_GB2312" w:cs="Times New Roman"/>
                <w:b w:val="0"/>
                <w:color w:val="000000"/>
                <w:sz w:val="22"/>
                <w:szCs w:val="22"/>
                <w:lang w:val="en-US" w:eastAsia="zh-CN"/>
              </w:rPr>
              <w:t>提供相关信息</w:t>
            </w:r>
            <w:r>
              <w:rPr>
                <w:rFonts w:hint="default" w:ascii="Times New Roman" w:hAnsi="Times New Roman" w:eastAsia="仿宋_GB2312" w:cs="Times New Roman"/>
                <w:b w:val="0"/>
                <w:color w:val="000000"/>
                <w:sz w:val="22"/>
                <w:szCs w:val="22"/>
              </w:rPr>
              <w:t>以评估气候变化对原料供应的影响，以及转型至气候韧性生产模式的障碍</w:t>
            </w:r>
            <w:r>
              <w:rPr>
                <w:rFonts w:hint="eastAsia" w:ascii="Times New Roman" w:hAnsi="Times New Roman" w:eastAsia="仿宋_GB2312" w:cs="Times New Roman"/>
                <w:b w:val="0"/>
                <w:color w:val="000000"/>
                <w:sz w:val="22"/>
                <w:szCs w:val="22"/>
                <w:lang w:eastAsia="zh-CN"/>
              </w:rPr>
              <w:t>。</w:t>
            </w:r>
          </w:p>
        </w:tc>
      </w:tr>
      <w:tr w14:paraId="3382B1E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 w:type="dxa"/>
            <w:bottom w:w="0" w:type="dxa"/>
            <w:right w:w="10" w:type="dxa"/>
          </w:tblCellMar>
        </w:tblPrEx>
        <w:tc>
          <w:tcPr>
            <w:tcW w:w="808" w:type="dxa"/>
            <w:tcBorders>
              <w:top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2C25E254">
            <w:pPr>
              <w:spacing w:before="120" w:after="120" w:line="288" w:lineRule="auto"/>
              <w:ind w:left="0"/>
              <w:jc w:val="center"/>
              <w:rPr>
                <w:rFonts w:hint="default" w:ascii="Times New Roman" w:hAnsi="Times New Roman" w:eastAsia="仿宋_GB2312" w:cs="Times New Roman"/>
                <w:b w:val="0"/>
                <w:color w:val="000000"/>
                <w:sz w:val="22"/>
                <w:szCs w:val="22"/>
              </w:rPr>
            </w:pPr>
            <w:r>
              <w:rPr>
                <w:rFonts w:hint="default" w:ascii="Times New Roman" w:hAnsi="Times New Roman" w:eastAsia="仿宋_GB2312" w:cs="Times New Roman"/>
                <w:b w:val="0"/>
                <w:color w:val="000000"/>
                <w:sz w:val="22"/>
                <w:szCs w:val="22"/>
              </w:rPr>
              <w:t>信息共享</w:t>
            </w:r>
          </w:p>
        </w:tc>
        <w:tc>
          <w:tcPr>
            <w:tcW w:w="195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4BEB8EF4">
            <w:pPr>
              <w:spacing w:before="120" w:after="120" w:line="288" w:lineRule="auto"/>
              <w:ind w:left="0"/>
              <w:jc w:val="both"/>
              <w:rPr>
                <w:rFonts w:hint="default" w:ascii="Times New Roman" w:hAnsi="Times New Roman" w:eastAsia="仿宋_GB2312" w:cs="Times New Roman"/>
                <w:b w:val="0"/>
                <w:color w:val="000000"/>
                <w:sz w:val="22"/>
                <w:szCs w:val="22"/>
              </w:rPr>
            </w:pPr>
            <w:r>
              <w:rPr>
                <w:rFonts w:hint="default" w:ascii="Times New Roman" w:hAnsi="Times New Roman" w:eastAsia="仿宋_GB2312" w:cs="Times New Roman"/>
                <w:b w:val="0"/>
                <w:color w:val="000000"/>
                <w:sz w:val="22"/>
                <w:szCs w:val="22"/>
              </w:rPr>
              <w:t>共享和传播气候智能型实践方面的信</w:t>
            </w:r>
            <w:r>
              <w:rPr>
                <w:rFonts w:hint="eastAsia" w:ascii="Times New Roman" w:hAnsi="Times New Roman" w:eastAsia="仿宋_GB2312" w:cs="Times New Roman"/>
                <w:b w:val="0"/>
                <w:color w:val="000000"/>
                <w:sz w:val="22"/>
                <w:szCs w:val="22"/>
                <w:lang w:val="en-US" w:eastAsia="zh-CN"/>
              </w:rPr>
              <w:t>息</w:t>
            </w:r>
          </w:p>
        </w:tc>
        <w:tc>
          <w:tcPr>
            <w:tcW w:w="141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1090FDC8">
            <w:pPr>
              <w:spacing w:before="120" w:after="120" w:line="288" w:lineRule="auto"/>
              <w:ind w:left="0"/>
              <w:jc w:val="both"/>
              <w:rPr>
                <w:rFonts w:hint="default" w:ascii="Times New Roman" w:hAnsi="Times New Roman" w:eastAsia="仿宋_GB2312" w:cs="Times New Roman"/>
                <w:b w:val="0"/>
                <w:color w:val="000000"/>
                <w:sz w:val="22"/>
                <w:szCs w:val="22"/>
              </w:rPr>
            </w:pPr>
            <w:r>
              <w:rPr>
                <w:rFonts w:hint="default" w:ascii="Times New Roman" w:hAnsi="Times New Roman" w:eastAsia="仿宋_GB2312" w:cs="Times New Roman"/>
                <w:b w:val="0"/>
                <w:color w:val="000000"/>
                <w:sz w:val="22"/>
                <w:szCs w:val="22"/>
              </w:rPr>
              <w:t>提升企业在气候智能实践方面的能力</w:t>
            </w:r>
          </w:p>
        </w:tc>
        <w:tc>
          <w:tcPr>
            <w:tcW w:w="4365" w:type="dxa"/>
            <w:tcBorders>
              <w:top w:val="single" w:color="000000" w:sz="4" w:space="0"/>
              <w:left w:val="single" w:color="000000" w:sz="4" w:space="0"/>
              <w:bottom w:val="single" w:color="000000" w:sz="4" w:space="0"/>
            </w:tcBorders>
            <w:shd w:val="clear" w:color="auto" w:fill="FFFFFF"/>
            <w:tcMar>
              <w:top w:w="60" w:type="dxa"/>
              <w:left w:w="120" w:type="dxa"/>
              <w:bottom w:w="30" w:type="dxa"/>
              <w:right w:w="120" w:type="dxa"/>
            </w:tcMar>
            <w:vAlign w:val="center"/>
          </w:tcPr>
          <w:p w14:paraId="4CDBD673">
            <w:pPr>
              <w:spacing w:before="120" w:after="120" w:line="288" w:lineRule="auto"/>
              <w:ind w:left="0"/>
              <w:jc w:val="both"/>
              <w:rPr>
                <w:rFonts w:hint="eastAsia" w:ascii="Times New Roman" w:hAnsi="Times New Roman" w:eastAsia="仿宋_GB2312" w:cs="Times New Roman"/>
                <w:b w:val="0"/>
                <w:color w:val="000000"/>
                <w:sz w:val="22"/>
                <w:szCs w:val="22"/>
                <w:lang w:eastAsia="zh-CN"/>
              </w:rPr>
            </w:pPr>
            <w:r>
              <w:rPr>
                <w:rFonts w:hint="default" w:ascii="Times New Roman" w:hAnsi="Times New Roman" w:eastAsia="仿宋_GB2312" w:cs="Times New Roman"/>
                <w:b w:val="0"/>
                <w:color w:val="000000"/>
                <w:sz w:val="22"/>
                <w:szCs w:val="22"/>
              </w:rPr>
              <w:t>塞内加尔Mamelles Jaboot加工厂接受SCALA提供的气候韧性农业培训，学习如何通过土壤改良和节水灌溉技术应对干旱风险</w:t>
            </w:r>
            <w:r>
              <w:rPr>
                <w:rFonts w:hint="eastAsia" w:ascii="Times New Roman" w:hAnsi="Times New Roman" w:eastAsia="仿宋_GB2312" w:cs="Times New Roman"/>
                <w:b w:val="0"/>
                <w:color w:val="000000"/>
                <w:sz w:val="22"/>
                <w:szCs w:val="22"/>
                <w:lang w:eastAsia="zh-CN"/>
              </w:rPr>
              <w:t>。</w:t>
            </w:r>
          </w:p>
        </w:tc>
      </w:tr>
    </w:tbl>
    <w:p w14:paraId="46F99908">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602" w:firstLineChars="200"/>
        <w:jc w:val="both"/>
        <w:textAlignment w:val="auto"/>
        <w:rPr>
          <w:rFonts w:hint="default" w:ascii="Times New Roman" w:hAnsi="Times New Roman" w:cs="Times New Roman"/>
          <w:b/>
          <w:bCs/>
          <w:sz w:val="30"/>
          <w:szCs w:val="30"/>
          <w:lang w:val="en-US" w:eastAsia="zh-CN"/>
        </w:rPr>
      </w:pPr>
      <w:r>
        <w:rPr>
          <w:rFonts w:hint="eastAsia" w:ascii="Times New Roman" w:hAnsi="Times New Roman" w:cs="Times New Roman"/>
          <w:b/>
          <w:bCs/>
          <w:sz w:val="30"/>
          <w:szCs w:val="30"/>
          <w:lang w:val="en-US" w:eastAsia="zh-CN"/>
        </w:rPr>
        <w:t>（二）</w:t>
      </w:r>
      <w:r>
        <w:rPr>
          <w:rFonts w:hint="default" w:ascii="Times New Roman" w:hAnsi="Times New Roman" w:cs="Times New Roman"/>
          <w:b/>
          <w:bCs/>
          <w:sz w:val="30"/>
          <w:szCs w:val="30"/>
          <w:lang w:val="en-US" w:eastAsia="zh-CN"/>
        </w:rPr>
        <w:t>私营部门参与农食气候行动的</w:t>
      </w:r>
      <w:r>
        <w:rPr>
          <w:rFonts w:hint="eastAsia" w:ascii="Times New Roman" w:hAnsi="Times New Roman" w:cs="Times New Roman"/>
          <w:b/>
          <w:bCs/>
          <w:sz w:val="30"/>
          <w:szCs w:val="30"/>
          <w:lang w:val="en-US" w:eastAsia="zh-CN"/>
        </w:rPr>
        <w:t>步骤</w:t>
      </w:r>
    </w:p>
    <w:p w14:paraId="420CCB73">
      <w:pPr>
        <w:numPr>
          <w:ilvl w:val="0"/>
          <w:numId w:val="0"/>
        </w:numPr>
        <w:spacing w:line="240" w:lineRule="auto"/>
        <w:ind w:firstLine="600" w:firstLineChars="200"/>
        <w:rPr>
          <w:rFonts w:hint="eastAsia" w:ascii="Times New Roman" w:hAnsi="Times New Roman" w:cs="Times New Roman"/>
          <w:b/>
          <w:bCs/>
          <w:sz w:val="30"/>
          <w:szCs w:val="30"/>
          <w:lang w:val="en-US" w:eastAsia="zh-CN"/>
        </w:rPr>
      </w:pPr>
      <w:r>
        <w:rPr>
          <w:rFonts w:hint="default" w:ascii="Times New Roman" w:hAnsi="Times New Roman" w:cs="Times New Roman"/>
          <w:sz w:val="30"/>
          <w:szCs w:val="30"/>
        </w:rPr>
        <w:t>在农食系统气候融资呈现结构失衡的现实背景下，如何将战略目标转化为可操作的私营部门参与路径成为关键。SCALA</w:t>
      </w:r>
      <w:r>
        <w:rPr>
          <w:rFonts w:hint="eastAsia" w:ascii="Times New Roman" w:hAnsi="Times New Roman" w:cs="Times New Roman"/>
          <w:sz w:val="30"/>
          <w:szCs w:val="30"/>
          <w:lang w:val="en-US" w:eastAsia="zh-CN"/>
        </w:rPr>
        <w:t>框架</w:t>
      </w:r>
      <w:r>
        <w:rPr>
          <w:rFonts w:hint="default" w:ascii="Times New Roman" w:hAnsi="Times New Roman" w:cs="Times New Roman"/>
          <w:sz w:val="30"/>
          <w:szCs w:val="30"/>
        </w:rPr>
        <w:t>指导私营部门通过识别投资机会、分析障碍风险及选择去风险工具，将农食系统气候优先事项转化为可行动项目，为私营部门参与农食气候行动提供了具体的实施路径</w:t>
      </w:r>
      <w:r>
        <w:rPr>
          <w:rFonts w:hint="eastAsia" w:ascii="Times New Roman" w:hAnsi="Times New Roman" w:cs="Times New Roman"/>
          <w:sz w:val="30"/>
          <w:szCs w:val="30"/>
          <w:lang w:eastAsia="zh-CN"/>
        </w:rPr>
        <w:t>（</w:t>
      </w:r>
      <w:r>
        <w:rPr>
          <w:rFonts w:hint="eastAsia" w:ascii="Times New Roman" w:hAnsi="Times New Roman" w:cs="Times New Roman"/>
          <w:sz w:val="30"/>
          <w:szCs w:val="30"/>
          <w:lang w:val="en-US" w:eastAsia="zh-CN"/>
        </w:rPr>
        <w:t>见表2</w:t>
      </w:r>
      <w:r>
        <w:rPr>
          <w:rFonts w:hint="eastAsia" w:ascii="Times New Roman" w:hAnsi="Times New Roman" w:cs="Times New Roman"/>
          <w:sz w:val="30"/>
          <w:szCs w:val="30"/>
          <w:lang w:eastAsia="zh-CN"/>
        </w:rPr>
        <w:t>）</w:t>
      </w:r>
      <w:r>
        <w:rPr>
          <w:rFonts w:hint="default" w:ascii="Times New Roman" w:hAnsi="Times New Roman" w:cs="Times New Roman"/>
          <w:sz w:val="30"/>
          <w:szCs w:val="30"/>
        </w:rPr>
        <w:t>。</w:t>
      </w:r>
    </w:p>
    <w:p w14:paraId="2B693024">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602" w:firstLineChars="200"/>
        <w:jc w:val="center"/>
        <w:textAlignment w:val="auto"/>
        <w:rPr>
          <w:rFonts w:hint="default" w:ascii="Times New Roman" w:hAnsi="Times New Roman" w:cs="Times New Roman"/>
          <w:b/>
          <w:bCs/>
          <w:sz w:val="30"/>
          <w:szCs w:val="30"/>
          <w:lang w:val="en-US" w:eastAsia="zh-CN"/>
        </w:rPr>
      </w:pPr>
      <w:r>
        <w:rPr>
          <w:rFonts w:hint="eastAsia" w:ascii="Times New Roman" w:hAnsi="Times New Roman" w:cs="Times New Roman"/>
          <w:b/>
          <w:bCs/>
          <w:sz w:val="30"/>
          <w:szCs w:val="30"/>
          <w:lang w:val="en-US" w:eastAsia="zh-CN"/>
        </w:rPr>
        <w:t>表2 私营部门参与农食气候行动的步骤</w:t>
      </w:r>
    </w:p>
    <w:tbl>
      <w:tblPr>
        <w:tblStyle w:val="7"/>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2842"/>
        <w:gridCol w:w="5680"/>
      </w:tblGrid>
      <w:tr w14:paraId="1CB5AE4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12" w:hRule="atLeast"/>
        </w:trPr>
        <w:tc>
          <w:tcPr>
            <w:tcW w:w="2842" w:type="dxa"/>
            <w:tcBorders>
              <w:top w:val="single" w:color="auto" w:sz="4" w:space="0"/>
              <w:bottom w:val="single" w:color="auto" w:sz="4" w:space="0"/>
              <w:right w:val="single" w:color="auto" w:sz="4" w:space="0"/>
              <w:tl2br w:val="nil"/>
              <w:tr2bl w:val="nil"/>
            </w:tcBorders>
            <w:vAlign w:val="center"/>
          </w:tcPr>
          <w:p w14:paraId="242AD6C4">
            <w:pPr>
              <w:numPr>
                <w:ilvl w:val="0"/>
                <w:numId w:val="0"/>
              </w:numPr>
              <w:spacing w:line="240" w:lineRule="auto"/>
              <w:jc w:val="center"/>
              <w:rPr>
                <w:rFonts w:hint="eastAsia" w:ascii="仿宋_GB2312" w:hAnsi="仿宋_GB2312" w:eastAsia="仿宋_GB2312" w:cs="仿宋_GB2312"/>
                <w:b/>
                <w:bCs/>
                <w:sz w:val="24"/>
                <w:szCs w:val="24"/>
              </w:rPr>
            </w:pPr>
            <w:r>
              <w:rPr>
                <w:rFonts w:hint="eastAsia" w:ascii="仿宋_GB2312" w:hAnsi="仿宋_GB2312" w:eastAsia="仿宋_GB2312" w:cs="仿宋_GB2312"/>
                <w:b/>
                <w:bCs/>
                <w:sz w:val="24"/>
                <w:szCs w:val="24"/>
              </w:rPr>
              <w:t>步骤</w:t>
            </w:r>
          </w:p>
        </w:tc>
        <w:tc>
          <w:tcPr>
            <w:tcW w:w="5680" w:type="dxa"/>
            <w:tcBorders>
              <w:top w:val="single" w:color="auto" w:sz="4" w:space="0"/>
              <w:left w:val="single" w:color="auto" w:sz="4" w:space="0"/>
              <w:bottom w:val="single" w:color="auto" w:sz="4" w:space="0"/>
              <w:tl2br w:val="nil"/>
              <w:tr2bl w:val="nil"/>
            </w:tcBorders>
            <w:vAlign w:val="center"/>
          </w:tcPr>
          <w:p w14:paraId="76072A66">
            <w:pPr>
              <w:numPr>
                <w:ilvl w:val="0"/>
                <w:numId w:val="0"/>
              </w:numPr>
              <w:spacing w:line="240" w:lineRule="auto"/>
              <w:jc w:val="center"/>
              <w:rPr>
                <w:rFonts w:hint="eastAsia" w:ascii="仿宋_GB2312" w:hAnsi="仿宋_GB2312" w:eastAsia="仿宋_GB2312" w:cs="仿宋_GB2312"/>
                <w:b/>
                <w:bCs/>
                <w:sz w:val="24"/>
                <w:szCs w:val="24"/>
              </w:rPr>
            </w:pPr>
            <w:r>
              <w:rPr>
                <w:rFonts w:hint="eastAsia" w:ascii="仿宋_GB2312" w:hAnsi="仿宋_GB2312" w:eastAsia="仿宋_GB2312" w:cs="仿宋_GB2312"/>
                <w:b/>
                <w:bCs/>
                <w:sz w:val="24"/>
                <w:szCs w:val="24"/>
              </w:rPr>
              <w:t>具体措施</w:t>
            </w:r>
          </w:p>
        </w:tc>
      </w:tr>
      <w:tr w14:paraId="65DDEE3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869" w:hRule="atLeast"/>
        </w:trPr>
        <w:tc>
          <w:tcPr>
            <w:tcW w:w="2842" w:type="dxa"/>
            <w:tcBorders>
              <w:top w:val="single" w:color="auto" w:sz="4" w:space="0"/>
              <w:bottom w:val="single" w:color="auto" w:sz="4" w:space="0"/>
              <w:right w:val="single" w:color="auto" w:sz="4" w:space="0"/>
              <w:tl2br w:val="nil"/>
              <w:tr2bl w:val="nil"/>
            </w:tcBorders>
            <w:vAlign w:val="center"/>
          </w:tcPr>
          <w:p w14:paraId="073E7EEF">
            <w:pPr>
              <w:numPr>
                <w:ilvl w:val="0"/>
                <w:numId w:val="0"/>
              </w:numPr>
              <w:spacing w:line="24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确定农业粮食体系的变革性气候行动</w:t>
            </w:r>
          </w:p>
        </w:tc>
        <w:tc>
          <w:tcPr>
            <w:tcW w:w="5680" w:type="dxa"/>
            <w:tcBorders>
              <w:top w:val="single" w:color="auto" w:sz="4" w:space="0"/>
              <w:left w:val="single" w:color="auto" w:sz="4" w:space="0"/>
              <w:bottom w:val="single" w:color="auto" w:sz="4" w:space="0"/>
              <w:tl2br w:val="nil"/>
              <w:tr2bl w:val="nil"/>
            </w:tcBorders>
            <w:vAlign w:val="center"/>
          </w:tcPr>
          <w:p w14:paraId="2FE2C57E">
            <w:pPr>
              <w:numPr>
                <w:ilvl w:val="0"/>
                <w:numId w:val="0"/>
              </w:num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确定针对气候的优先排序标准并评估农业措施。</w:t>
            </w:r>
          </w:p>
          <w:p w14:paraId="2A461A8F">
            <w:pPr>
              <w:numPr>
                <w:ilvl w:val="0"/>
                <w:numId w:val="0"/>
              </w:num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确定特定优先农业粮食体系内的干预措施。</w:t>
            </w:r>
          </w:p>
        </w:tc>
      </w:tr>
      <w:tr w14:paraId="78B4282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25" w:hRule="atLeast"/>
        </w:trPr>
        <w:tc>
          <w:tcPr>
            <w:tcW w:w="2842" w:type="dxa"/>
            <w:tcBorders>
              <w:top w:val="single" w:color="auto" w:sz="4" w:space="0"/>
              <w:bottom w:val="single" w:color="auto" w:sz="4" w:space="0"/>
              <w:right w:val="single" w:color="auto" w:sz="4" w:space="0"/>
              <w:tl2br w:val="nil"/>
              <w:tr2bl w:val="nil"/>
            </w:tcBorders>
            <w:vAlign w:val="center"/>
          </w:tcPr>
          <w:p w14:paraId="37C5A51D">
            <w:pPr>
              <w:numPr>
                <w:ilvl w:val="0"/>
                <w:numId w:val="0"/>
              </w:numPr>
              <w:spacing w:line="24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分析优先干预措施，以确定其对私营部门投资的潜力</w:t>
            </w:r>
          </w:p>
        </w:tc>
        <w:tc>
          <w:tcPr>
            <w:tcW w:w="5680" w:type="dxa"/>
            <w:tcBorders>
              <w:top w:val="single" w:color="auto" w:sz="4" w:space="0"/>
              <w:left w:val="single" w:color="auto" w:sz="4" w:space="0"/>
              <w:bottom w:val="single" w:color="auto" w:sz="4" w:space="0"/>
              <w:tl2br w:val="nil"/>
              <w:tr2bl w:val="nil"/>
            </w:tcBorders>
            <w:vAlign w:val="center"/>
          </w:tcPr>
          <w:p w14:paraId="51F996A5">
            <w:pPr>
              <w:numPr>
                <w:ilvl w:val="0"/>
                <w:numId w:val="0"/>
              </w:num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确定适合私营部门投资的干预措施。</w:t>
            </w:r>
          </w:p>
          <w:p w14:paraId="6C0F4615">
            <w:pPr>
              <w:numPr>
                <w:ilvl w:val="0"/>
                <w:numId w:val="0"/>
              </w:num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评估气候干预对私营部门投资的可融资性。</w:t>
            </w:r>
          </w:p>
        </w:tc>
      </w:tr>
      <w:tr w14:paraId="4BC6F2C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081" w:hRule="atLeast"/>
        </w:trPr>
        <w:tc>
          <w:tcPr>
            <w:tcW w:w="2842" w:type="dxa"/>
            <w:tcBorders>
              <w:top w:val="single" w:color="auto" w:sz="4" w:space="0"/>
              <w:bottom w:val="single" w:color="auto" w:sz="4" w:space="0"/>
              <w:right w:val="single" w:color="auto" w:sz="4" w:space="0"/>
              <w:tl2br w:val="nil"/>
              <w:tr2bl w:val="nil"/>
            </w:tcBorders>
            <w:vAlign w:val="center"/>
          </w:tcPr>
          <w:p w14:paraId="23325691">
            <w:pPr>
              <w:numPr>
                <w:ilvl w:val="0"/>
                <w:numId w:val="0"/>
              </w:numPr>
              <w:spacing w:line="24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分析障碍和风险并确定降低风险的解决方案</w:t>
            </w:r>
          </w:p>
        </w:tc>
        <w:tc>
          <w:tcPr>
            <w:tcW w:w="5680" w:type="dxa"/>
            <w:tcBorders>
              <w:top w:val="single" w:color="auto" w:sz="4" w:space="0"/>
              <w:left w:val="single" w:color="auto" w:sz="4" w:space="0"/>
              <w:bottom w:val="single" w:color="auto" w:sz="4" w:space="0"/>
              <w:tl2br w:val="nil"/>
              <w:tr2bl w:val="nil"/>
            </w:tcBorders>
            <w:vAlign w:val="center"/>
          </w:tcPr>
          <w:p w14:paraId="4C729E93">
            <w:pPr>
              <w:numPr>
                <w:ilvl w:val="0"/>
                <w:numId w:val="0"/>
              </w:num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识别障碍和风险并进行分类。</w:t>
            </w:r>
          </w:p>
          <w:p w14:paraId="63069234">
            <w:pPr>
              <w:numPr>
                <w:ilvl w:val="0"/>
                <w:numId w:val="0"/>
              </w:num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对障碍和风险进行排名。</w:t>
            </w:r>
          </w:p>
          <w:p w14:paraId="58E84DE2">
            <w:pPr>
              <w:numPr>
                <w:ilvl w:val="0"/>
                <w:numId w:val="0"/>
              </w:num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选择合适的降低风险的解决方案。</w:t>
            </w:r>
          </w:p>
        </w:tc>
      </w:tr>
    </w:tbl>
    <w:p w14:paraId="778A7876">
      <w:pPr>
        <w:keepNext w:val="0"/>
        <w:keepLines w:val="0"/>
        <w:pageBreakBefore w:val="0"/>
        <w:widowControl w:val="0"/>
        <w:numPr>
          <w:ilvl w:val="0"/>
          <w:numId w:val="1"/>
        </w:numPr>
        <w:kinsoku/>
        <w:wordWrap/>
        <w:overflowPunct/>
        <w:topLinePunct w:val="0"/>
        <w:autoSpaceDE/>
        <w:autoSpaceDN/>
        <w:bidi w:val="0"/>
        <w:adjustRightInd/>
        <w:snapToGrid/>
        <w:spacing w:line="240" w:lineRule="auto"/>
        <w:textAlignment w:val="auto"/>
        <w:rPr>
          <w:rFonts w:hint="default" w:ascii="Times New Roman" w:hAnsi="Times New Roman" w:eastAsia="黑体" w:cs="Times New Roman"/>
          <w:sz w:val="30"/>
          <w:szCs w:val="30"/>
          <w:lang w:val="en-US" w:eastAsia="zh-CN"/>
        </w:rPr>
      </w:pPr>
      <w:r>
        <w:rPr>
          <w:rFonts w:hint="default" w:ascii="Times New Roman" w:hAnsi="Times New Roman" w:eastAsia="黑体" w:cs="Times New Roman"/>
          <w:sz w:val="30"/>
          <w:szCs w:val="30"/>
          <w:lang w:val="en-US" w:eastAsia="zh-CN"/>
        </w:rPr>
        <w:t>私营部门参与农食</w:t>
      </w:r>
      <w:r>
        <w:rPr>
          <w:rFonts w:hint="eastAsia" w:ascii="Times New Roman" w:hAnsi="Times New Roman" w:eastAsia="黑体" w:cs="Times New Roman"/>
          <w:sz w:val="30"/>
          <w:szCs w:val="30"/>
          <w:lang w:val="en-US" w:eastAsia="zh-CN"/>
        </w:rPr>
        <w:t>系统</w:t>
      </w:r>
      <w:r>
        <w:rPr>
          <w:rFonts w:hint="default" w:ascii="Times New Roman" w:hAnsi="Times New Roman" w:eastAsia="黑体" w:cs="Times New Roman"/>
          <w:sz w:val="30"/>
          <w:szCs w:val="30"/>
          <w:lang w:val="en-US" w:eastAsia="zh-CN"/>
        </w:rPr>
        <w:t>气候行动的障碍与风险</w:t>
      </w:r>
    </w:p>
    <w:p w14:paraId="2352D23B">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600" w:firstLineChars="200"/>
        <w:jc w:val="both"/>
        <w:textAlignment w:val="auto"/>
        <w:rPr>
          <w:rFonts w:hint="default" w:ascii="Times New Roman" w:hAnsi="Times New Roman" w:cs="Times New Roman"/>
          <w:sz w:val="30"/>
          <w:szCs w:val="30"/>
          <w:lang w:eastAsia="zh-CN"/>
        </w:rPr>
      </w:pPr>
      <w:r>
        <w:rPr>
          <w:rFonts w:hint="default" w:ascii="Times New Roman" w:hAnsi="Times New Roman" w:cs="Times New Roman"/>
          <w:sz w:val="30"/>
          <w:szCs w:val="30"/>
          <w:lang w:val="en-US" w:eastAsia="zh-CN"/>
        </w:rPr>
        <w:t>SCALA</w:t>
      </w:r>
      <w:r>
        <w:rPr>
          <w:rFonts w:hint="eastAsia" w:ascii="Times New Roman" w:hAnsi="Times New Roman" w:cs="Times New Roman"/>
          <w:sz w:val="30"/>
          <w:szCs w:val="30"/>
          <w:lang w:val="en-US" w:eastAsia="zh-CN"/>
        </w:rPr>
        <w:t>项目</w:t>
      </w:r>
      <w:r>
        <w:rPr>
          <w:rFonts w:hint="default" w:ascii="Times New Roman" w:hAnsi="Times New Roman" w:cs="Times New Roman"/>
          <w:sz w:val="30"/>
          <w:szCs w:val="30"/>
          <w:lang w:eastAsia="zh-CN"/>
        </w:rPr>
        <w:t>强调需建立识别、评估与减轻障碍和风险的框架，针对每项优先行动，全面梳理政策、金融</w:t>
      </w:r>
      <w:r>
        <w:rPr>
          <w:rFonts w:hint="eastAsia" w:ascii="Times New Roman" w:hAnsi="Times New Roman" w:cs="Times New Roman"/>
          <w:sz w:val="30"/>
          <w:szCs w:val="30"/>
          <w:lang w:eastAsia="zh-CN"/>
        </w:rPr>
        <w:t>、</w:t>
      </w:r>
      <w:r>
        <w:rPr>
          <w:rFonts w:hint="default" w:ascii="Times New Roman" w:hAnsi="Times New Roman" w:cs="Times New Roman"/>
          <w:sz w:val="30"/>
          <w:szCs w:val="30"/>
          <w:lang w:eastAsia="zh-CN"/>
        </w:rPr>
        <w:t>知识及</w:t>
      </w:r>
      <w:r>
        <w:rPr>
          <w:rFonts w:hint="eastAsia" w:ascii="Times New Roman" w:hAnsi="Times New Roman" w:cs="Times New Roman"/>
          <w:sz w:val="30"/>
          <w:szCs w:val="30"/>
          <w:lang w:val="en-US" w:eastAsia="zh-CN"/>
        </w:rPr>
        <w:t>生产</w:t>
      </w:r>
      <w:r>
        <w:rPr>
          <w:rFonts w:hint="default" w:ascii="Times New Roman" w:hAnsi="Times New Roman" w:cs="Times New Roman"/>
          <w:sz w:val="30"/>
          <w:szCs w:val="30"/>
          <w:lang w:eastAsia="zh-CN"/>
        </w:rPr>
        <w:t>层面的障碍与风险，在初步评估基础上深入分析，为后续确定优先级、制定风险应对方案提供依据。</w:t>
      </w:r>
      <w:r>
        <w:rPr>
          <w:rFonts w:hint="eastAsia" w:ascii="Times New Roman" w:hAnsi="Times New Roman" w:cs="Times New Roman"/>
          <w:sz w:val="30"/>
          <w:szCs w:val="30"/>
          <w:lang w:val="en-US" w:eastAsia="zh-CN"/>
        </w:rPr>
        <w:t>FAO将</w:t>
      </w:r>
      <w:r>
        <w:rPr>
          <w:rFonts w:hint="default" w:ascii="Times New Roman" w:hAnsi="Times New Roman" w:cs="Times New Roman"/>
          <w:sz w:val="30"/>
          <w:szCs w:val="30"/>
          <w:lang w:eastAsia="zh-CN"/>
        </w:rPr>
        <w:t>与</w:t>
      </w:r>
      <w:r>
        <w:rPr>
          <w:rFonts w:hint="eastAsia" w:ascii="Times New Roman" w:hAnsi="Times New Roman" w:cs="Times New Roman"/>
          <w:sz w:val="30"/>
          <w:szCs w:val="30"/>
          <w:lang w:val="en-US" w:eastAsia="zh-CN"/>
        </w:rPr>
        <w:t>农食系统</w:t>
      </w:r>
      <w:r>
        <w:rPr>
          <w:rFonts w:hint="default" w:ascii="Times New Roman" w:hAnsi="Times New Roman" w:cs="Times New Roman"/>
          <w:sz w:val="30"/>
          <w:szCs w:val="30"/>
          <w:lang w:eastAsia="zh-CN"/>
        </w:rPr>
        <w:t>相关的障碍和</w:t>
      </w:r>
      <w:r>
        <w:rPr>
          <w:rFonts w:hint="default" w:ascii="Times New Roman" w:hAnsi="Times New Roman" w:cs="Times New Roman"/>
          <w:sz w:val="30"/>
          <w:szCs w:val="30"/>
          <w:lang w:val="en-US" w:eastAsia="zh-CN"/>
        </w:rPr>
        <w:t>风</w:t>
      </w:r>
      <w:r>
        <w:rPr>
          <w:rFonts w:hint="default" w:ascii="Times New Roman" w:hAnsi="Times New Roman" w:cs="Times New Roman"/>
          <w:sz w:val="30"/>
          <w:szCs w:val="30"/>
          <w:lang w:eastAsia="zh-CN"/>
        </w:rPr>
        <w:t>险分为</w:t>
      </w:r>
      <w:r>
        <w:rPr>
          <w:rFonts w:hint="default" w:ascii="Times New Roman" w:hAnsi="Times New Roman" w:cs="Times New Roman"/>
          <w:sz w:val="30"/>
          <w:szCs w:val="30"/>
          <w:lang w:val="en-US" w:eastAsia="zh-CN"/>
        </w:rPr>
        <w:t>四</w:t>
      </w:r>
      <w:r>
        <w:rPr>
          <w:rFonts w:hint="default" w:ascii="Times New Roman" w:hAnsi="Times New Roman" w:cs="Times New Roman"/>
          <w:sz w:val="30"/>
          <w:szCs w:val="30"/>
          <w:lang w:eastAsia="zh-CN"/>
        </w:rPr>
        <w:t>类。</w:t>
      </w:r>
    </w:p>
    <w:p w14:paraId="65FA71EA">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602" w:firstLineChars="200"/>
        <w:jc w:val="both"/>
        <w:textAlignment w:val="auto"/>
        <w:rPr>
          <w:rFonts w:hint="eastAsia" w:ascii="Times New Roman" w:hAnsi="Times New Roman" w:cs="Times New Roman"/>
          <w:sz w:val="30"/>
          <w:szCs w:val="30"/>
          <w:lang w:val="en-US" w:eastAsia="zh-CN"/>
        </w:rPr>
      </w:pPr>
      <w:r>
        <w:rPr>
          <w:rFonts w:hint="eastAsia" w:ascii="Times New Roman" w:hAnsi="Times New Roman" w:cs="Times New Roman"/>
          <w:b/>
          <w:bCs/>
          <w:sz w:val="30"/>
          <w:szCs w:val="30"/>
          <w:lang w:eastAsia="zh-CN"/>
        </w:rPr>
        <w:t>（</w:t>
      </w:r>
      <w:r>
        <w:rPr>
          <w:rFonts w:hint="eastAsia" w:ascii="Times New Roman" w:hAnsi="Times New Roman" w:cs="Times New Roman"/>
          <w:b/>
          <w:bCs/>
          <w:sz w:val="30"/>
          <w:szCs w:val="30"/>
          <w:lang w:val="en-US" w:eastAsia="zh-CN"/>
        </w:rPr>
        <w:t>一</w:t>
      </w:r>
      <w:r>
        <w:rPr>
          <w:rFonts w:hint="eastAsia" w:ascii="Times New Roman" w:hAnsi="Times New Roman" w:cs="Times New Roman"/>
          <w:b/>
          <w:bCs/>
          <w:sz w:val="30"/>
          <w:szCs w:val="30"/>
          <w:lang w:eastAsia="zh-CN"/>
        </w:rPr>
        <w:t>）</w:t>
      </w:r>
      <w:r>
        <w:rPr>
          <w:rFonts w:hint="default" w:ascii="Times New Roman" w:hAnsi="Times New Roman" w:cs="Times New Roman"/>
          <w:b/>
          <w:bCs/>
          <w:sz w:val="30"/>
          <w:szCs w:val="30"/>
          <w:lang w:eastAsia="zh-CN"/>
        </w:rPr>
        <w:t>政策与监管</w:t>
      </w:r>
      <w:r>
        <w:rPr>
          <w:rFonts w:hint="eastAsia" w:ascii="Times New Roman" w:hAnsi="Times New Roman" w:cs="Times New Roman"/>
          <w:b/>
          <w:bCs/>
          <w:sz w:val="30"/>
          <w:szCs w:val="30"/>
          <w:lang w:val="en-US" w:eastAsia="zh-CN"/>
        </w:rPr>
        <w:t>障碍</w:t>
      </w:r>
    </w:p>
    <w:p w14:paraId="2EB10F48">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602" w:firstLineChars="200"/>
        <w:jc w:val="both"/>
        <w:textAlignment w:val="auto"/>
        <w:rPr>
          <w:rFonts w:hint="default" w:ascii="Times New Roman" w:hAnsi="Times New Roman" w:cs="Times New Roman"/>
          <w:sz w:val="30"/>
          <w:szCs w:val="30"/>
          <w:lang w:val="en-US" w:eastAsia="zh-CN"/>
        </w:rPr>
      </w:pPr>
      <w:r>
        <w:rPr>
          <w:rFonts w:hint="eastAsia" w:ascii="Times New Roman" w:hAnsi="Times New Roman" w:cs="Times New Roman"/>
          <w:b/>
          <w:bCs/>
          <w:sz w:val="30"/>
          <w:szCs w:val="30"/>
          <w:lang w:val="en-US" w:eastAsia="zh-CN"/>
        </w:rPr>
        <w:t>1.</w:t>
      </w:r>
      <w:r>
        <w:rPr>
          <w:rFonts w:hint="default" w:ascii="Times New Roman" w:hAnsi="Times New Roman" w:cs="Times New Roman"/>
          <w:b/>
          <w:bCs/>
          <w:sz w:val="30"/>
          <w:szCs w:val="30"/>
          <w:lang w:val="en-US" w:eastAsia="zh-CN"/>
        </w:rPr>
        <w:t>政策框架模糊与目标错位导致私营部门参与不足。</w:t>
      </w:r>
      <w:r>
        <w:rPr>
          <w:rFonts w:hint="default" w:ascii="Times New Roman" w:hAnsi="Times New Roman" w:cs="Times New Roman"/>
          <w:sz w:val="30"/>
          <w:szCs w:val="30"/>
          <w:lang w:val="en-US" w:eastAsia="zh-CN"/>
        </w:rPr>
        <w:t>国家自主贡献（NDCs）和国家适应计划（NAPs）中，仅7%明确提及私营部门的具体参与角色，多数政策框架缺乏对私营部门参与路径的清晰设计，导致私营部门在国家气候行动政策框架中参与有限。此外，公共气候目标与私营部门优先事项之间存在差距。公共部门倾向于优先考虑长期社会效益和环境可持续性，而私营部门则注重短期回报和股东价值。这种差异可能会阻碍公私合作开展气候行动</w:t>
      </w:r>
      <w:r>
        <w:rPr>
          <w:rStyle w:val="11"/>
          <w:rFonts w:hint="default" w:ascii="Times New Roman" w:hAnsi="Times New Roman" w:cs="Times New Roman"/>
          <w:sz w:val="30"/>
          <w:szCs w:val="30"/>
          <w:lang w:val="en-US" w:eastAsia="zh-CN"/>
        </w:rPr>
        <w:footnoteReference w:id="10"/>
      </w:r>
      <w:r>
        <w:rPr>
          <w:rFonts w:hint="default" w:ascii="Times New Roman" w:hAnsi="Times New Roman" w:cs="Times New Roman"/>
          <w:sz w:val="30"/>
          <w:szCs w:val="30"/>
          <w:lang w:val="en-US" w:eastAsia="zh-CN"/>
        </w:rPr>
        <w:t>。</w:t>
      </w:r>
    </w:p>
    <w:p w14:paraId="50269AC0">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602" w:firstLineChars="200"/>
        <w:jc w:val="both"/>
        <w:textAlignment w:val="auto"/>
        <w:rPr>
          <w:rFonts w:hint="default" w:ascii="Times New Roman" w:hAnsi="Times New Roman" w:cs="Times New Roman"/>
          <w:b/>
          <w:bCs/>
          <w:sz w:val="30"/>
          <w:szCs w:val="30"/>
          <w:lang w:val="en-US" w:eastAsia="zh-CN"/>
        </w:rPr>
      </w:pPr>
      <w:r>
        <w:rPr>
          <w:rFonts w:hint="eastAsia" w:ascii="Times New Roman" w:hAnsi="Times New Roman" w:cs="Times New Roman"/>
          <w:b/>
          <w:bCs/>
          <w:sz w:val="30"/>
          <w:szCs w:val="30"/>
          <w:lang w:val="en-US" w:eastAsia="zh-CN"/>
        </w:rPr>
        <w:t>2.相关</w:t>
      </w:r>
      <w:r>
        <w:rPr>
          <w:rFonts w:hint="default" w:ascii="Times New Roman" w:hAnsi="Times New Roman" w:cs="Times New Roman"/>
          <w:b/>
          <w:bCs/>
          <w:sz w:val="30"/>
          <w:szCs w:val="30"/>
          <w:lang w:val="en-US" w:eastAsia="zh-CN"/>
        </w:rPr>
        <w:t>监管机制</w:t>
      </w:r>
      <w:r>
        <w:rPr>
          <w:rFonts w:hint="eastAsia" w:ascii="Times New Roman" w:hAnsi="Times New Roman" w:cs="Times New Roman"/>
          <w:b/>
          <w:bCs/>
          <w:sz w:val="30"/>
          <w:szCs w:val="30"/>
          <w:lang w:val="en-US" w:eastAsia="zh-CN"/>
        </w:rPr>
        <w:t>与标准</w:t>
      </w:r>
      <w:r>
        <w:rPr>
          <w:rFonts w:hint="default" w:ascii="Times New Roman" w:hAnsi="Times New Roman" w:cs="Times New Roman"/>
          <w:b/>
          <w:bCs/>
          <w:sz w:val="30"/>
          <w:szCs w:val="30"/>
          <w:lang w:val="en-US" w:eastAsia="zh-CN"/>
        </w:rPr>
        <w:t>缺位</w:t>
      </w:r>
      <w:r>
        <w:rPr>
          <w:rFonts w:hint="eastAsia" w:ascii="Times New Roman" w:hAnsi="Times New Roman" w:cs="Times New Roman"/>
          <w:b/>
          <w:bCs/>
          <w:sz w:val="30"/>
          <w:szCs w:val="30"/>
          <w:lang w:val="en-US" w:eastAsia="zh-CN"/>
        </w:rPr>
        <w:t>使</w:t>
      </w:r>
      <w:r>
        <w:rPr>
          <w:rFonts w:hint="default" w:ascii="Times New Roman" w:hAnsi="Times New Roman" w:cs="Times New Roman"/>
          <w:b/>
          <w:bCs/>
          <w:sz w:val="30"/>
          <w:szCs w:val="30"/>
          <w:lang w:val="en-US" w:eastAsia="zh-CN"/>
        </w:rPr>
        <w:t>投资风险</w:t>
      </w:r>
      <w:r>
        <w:rPr>
          <w:rFonts w:hint="eastAsia" w:ascii="Times New Roman" w:hAnsi="Times New Roman" w:cs="Times New Roman"/>
          <w:b/>
          <w:bCs/>
          <w:sz w:val="30"/>
          <w:szCs w:val="30"/>
          <w:lang w:val="en-US" w:eastAsia="zh-CN"/>
        </w:rPr>
        <w:t>及</w:t>
      </w:r>
      <w:r>
        <w:rPr>
          <w:rFonts w:hint="default" w:ascii="Times New Roman" w:hAnsi="Times New Roman" w:cs="Times New Roman"/>
          <w:b/>
          <w:bCs/>
          <w:sz w:val="30"/>
          <w:szCs w:val="30"/>
          <w:lang w:val="en-US" w:eastAsia="zh-CN"/>
        </w:rPr>
        <w:t>投资者成本</w:t>
      </w:r>
      <w:r>
        <w:rPr>
          <w:rFonts w:hint="eastAsia" w:ascii="Times New Roman" w:hAnsi="Times New Roman" w:cs="Times New Roman"/>
          <w:b/>
          <w:bCs/>
          <w:sz w:val="30"/>
          <w:szCs w:val="30"/>
          <w:lang w:val="en-US" w:eastAsia="zh-CN"/>
        </w:rPr>
        <w:t>增加</w:t>
      </w:r>
      <w:r>
        <w:rPr>
          <w:rFonts w:hint="default" w:ascii="Times New Roman" w:hAnsi="Times New Roman" w:cs="Times New Roman"/>
          <w:b/>
          <w:bCs/>
          <w:sz w:val="30"/>
          <w:szCs w:val="30"/>
          <w:lang w:val="en-US" w:eastAsia="zh-CN"/>
        </w:rPr>
        <w:t>。</w:t>
      </w:r>
      <w:r>
        <w:rPr>
          <w:rFonts w:hint="default" w:ascii="Times New Roman" w:hAnsi="Times New Roman" w:cs="Times New Roman"/>
          <w:sz w:val="30"/>
          <w:szCs w:val="30"/>
          <w:lang w:val="en-US" w:eastAsia="zh-CN"/>
        </w:rPr>
        <w:t>缺乏激励措施和明确的监管框架，会使得私营部门对气候行动的投资意愿降低。</w:t>
      </w:r>
      <w:r>
        <w:rPr>
          <w:rFonts w:hint="eastAsia" w:ascii="Times New Roman" w:hAnsi="Times New Roman" w:cs="Times New Roman"/>
          <w:sz w:val="30"/>
          <w:szCs w:val="30"/>
          <w:lang w:val="en-US" w:eastAsia="zh-CN"/>
        </w:rPr>
        <w:t>如</w:t>
      </w:r>
      <w:r>
        <w:rPr>
          <w:rFonts w:hint="default" w:ascii="Times New Roman" w:hAnsi="Times New Roman" w:cs="Times New Roman"/>
          <w:sz w:val="30"/>
          <w:szCs w:val="30"/>
          <w:lang w:val="en-US" w:eastAsia="zh-CN"/>
        </w:rPr>
        <w:t>农业补贴扭曲、碳定价机制缺失</w:t>
      </w:r>
      <w:r>
        <w:rPr>
          <w:rFonts w:hint="eastAsia" w:ascii="Times New Roman" w:hAnsi="Times New Roman" w:cs="Times New Roman"/>
          <w:sz w:val="30"/>
          <w:szCs w:val="30"/>
          <w:lang w:val="en-US" w:eastAsia="zh-CN"/>
        </w:rPr>
        <w:t>等</w:t>
      </w:r>
      <w:r>
        <w:rPr>
          <w:rFonts w:hint="default" w:ascii="Times New Roman" w:hAnsi="Times New Roman" w:cs="Times New Roman"/>
          <w:sz w:val="30"/>
          <w:szCs w:val="30"/>
          <w:lang w:val="en-US" w:eastAsia="zh-CN"/>
        </w:rPr>
        <w:t>，</w:t>
      </w:r>
      <w:r>
        <w:rPr>
          <w:rFonts w:hint="eastAsia" w:ascii="Times New Roman" w:hAnsi="Times New Roman" w:cs="Times New Roman"/>
          <w:sz w:val="30"/>
          <w:szCs w:val="30"/>
          <w:lang w:val="en-US" w:eastAsia="zh-CN"/>
        </w:rPr>
        <w:t>会</w:t>
      </w:r>
      <w:r>
        <w:rPr>
          <w:rFonts w:hint="default" w:ascii="Times New Roman" w:hAnsi="Times New Roman" w:cs="Times New Roman"/>
          <w:sz w:val="30"/>
          <w:szCs w:val="30"/>
          <w:lang w:val="en-US" w:eastAsia="zh-CN"/>
        </w:rPr>
        <w:t>使私营部门面临回报不确定性</w:t>
      </w:r>
      <w:r>
        <w:rPr>
          <w:rStyle w:val="11"/>
          <w:rFonts w:hint="default" w:ascii="Times New Roman" w:hAnsi="Times New Roman" w:cs="Times New Roman"/>
          <w:sz w:val="30"/>
          <w:szCs w:val="30"/>
          <w:lang w:val="en-US" w:eastAsia="zh-CN"/>
        </w:rPr>
        <w:footnoteReference w:id="11"/>
      </w:r>
      <w:r>
        <w:rPr>
          <w:rFonts w:hint="default" w:ascii="Times New Roman" w:hAnsi="Times New Roman" w:cs="Times New Roman"/>
          <w:sz w:val="30"/>
          <w:szCs w:val="30"/>
          <w:lang w:val="en-US" w:eastAsia="zh-CN"/>
        </w:rPr>
        <w:t>。</w:t>
      </w:r>
      <w:r>
        <w:rPr>
          <w:rFonts w:hint="default" w:ascii="Times New Roman" w:hAnsi="Times New Roman" w:cs="Times New Roman"/>
          <w:b w:val="0"/>
          <w:bCs w:val="0"/>
          <w:sz w:val="30"/>
          <w:szCs w:val="30"/>
          <w:lang w:val="en-US" w:eastAsia="zh-CN"/>
        </w:rPr>
        <w:t>缺乏明确标准和认证机制，</w:t>
      </w:r>
      <w:r>
        <w:rPr>
          <w:rFonts w:hint="eastAsia" w:ascii="Times New Roman" w:hAnsi="Times New Roman" w:cs="Times New Roman"/>
          <w:b w:val="0"/>
          <w:bCs w:val="0"/>
          <w:sz w:val="30"/>
          <w:szCs w:val="30"/>
          <w:lang w:val="en-US" w:eastAsia="zh-CN"/>
        </w:rPr>
        <w:t>也会</w:t>
      </w:r>
      <w:r>
        <w:rPr>
          <w:rFonts w:hint="default" w:ascii="Times New Roman" w:hAnsi="Times New Roman" w:cs="Times New Roman"/>
          <w:b w:val="0"/>
          <w:bCs w:val="0"/>
          <w:sz w:val="30"/>
          <w:szCs w:val="30"/>
          <w:lang w:val="en-US" w:eastAsia="zh-CN"/>
        </w:rPr>
        <w:t>影响绿色技术与可持续投资的融资对接。</w:t>
      </w:r>
      <w:r>
        <w:rPr>
          <w:rFonts w:hint="eastAsia" w:ascii="Times New Roman" w:hAnsi="Times New Roman" w:cs="Times New Roman"/>
          <w:b w:val="0"/>
          <w:bCs w:val="0"/>
          <w:sz w:val="30"/>
          <w:szCs w:val="30"/>
          <w:lang w:val="en-US" w:eastAsia="zh-CN"/>
        </w:rPr>
        <w:t>一些</w:t>
      </w:r>
      <w:r>
        <w:rPr>
          <w:rFonts w:hint="default" w:ascii="Times New Roman" w:hAnsi="Times New Roman" w:cs="Times New Roman"/>
          <w:b w:val="0"/>
          <w:bCs w:val="0"/>
          <w:sz w:val="30"/>
          <w:szCs w:val="30"/>
          <w:lang w:val="en-US" w:eastAsia="zh-CN"/>
        </w:rPr>
        <w:t>绿色</w:t>
      </w:r>
      <w:r>
        <w:rPr>
          <w:rFonts w:hint="eastAsia" w:ascii="Times New Roman" w:hAnsi="Times New Roman" w:cs="Times New Roman"/>
          <w:b w:val="0"/>
          <w:bCs w:val="0"/>
          <w:sz w:val="30"/>
          <w:szCs w:val="30"/>
          <w:lang w:val="en-US" w:eastAsia="zh-CN"/>
        </w:rPr>
        <w:t>农业</w:t>
      </w:r>
      <w:r>
        <w:rPr>
          <w:rFonts w:hint="default" w:ascii="Times New Roman" w:hAnsi="Times New Roman" w:cs="Times New Roman"/>
          <w:b w:val="0"/>
          <w:bCs w:val="0"/>
          <w:sz w:val="30"/>
          <w:szCs w:val="30"/>
          <w:lang w:val="en-US" w:eastAsia="zh-CN"/>
        </w:rPr>
        <w:t>技术（如碳捕捉、生态农业）的减排效果缺乏统一测量标准，投资者无法量化项目气候效益，导致风险溢价过高</w:t>
      </w:r>
      <w:r>
        <w:rPr>
          <w:rStyle w:val="11"/>
          <w:rFonts w:hint="default" w:ascii="Times New Roman" w:hAnsi="Times New Roman" w:cs="Times New Roman"/>
          <w:b w:val="0"/>
          <w:bCs w:val="0"/>
          <w:sz w:val="30"/>
          <w:szCs w:val="30"/>
          <w:lang w:val="en-US" w:eastAsia="zh-CN"/>
        </w:rPr>
        <w:footnoteReference w:id="12"/>
      </w:r>
      <w:r>
        <w:rPr>
          <w:rFonts w:hint="default" w:ascii="Times New Roman" w:hAnsi="Times New Roman" w:cs="Times New Roman"/>
          <w:b/>
          <w:bCs/>
          <w:sz w:val="30"/>
          <w:szCs w:val="30"/>
          <w:lang w:val="en-US" w:eastAsia="zh-CN"/>
        </w:rPr>
        <w:t>。</w:t>
      </w:r>
    </w:p>
    <w:p w14:paraId="69215A45">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602" w:firstLineChars="200"/>
        <w:jc w:val="both"/>
        <w:textAlignment w:val="auto"/>
        <w:rPr>
          <w:rFonts w:hint="default" w:ascii="Times New Roman" w:hAnsi="Times New Roman" w:cs="Times New Roman"/>
          <w:b/>
          <w:bCs/>
          <w:sz w:val="30"/>
          <w:szCs w:val="30"/>
          <w:lang w:eastAsia="zh-CN"/>
        </w:rPr>
      </w:pPr>
      <w:r>
        <w:rPr>
          <w:rFonts w:hint="eastAsia" w:ascii="Times New Roman" w:hAnsi="Times New Roman" w:cs="Times New Roman"/>
          <w:b/>
          <w:bCs/>
          <w:sz w:val="30"/>
          <w:szCs w:val="30"/>
          <w:lang w:eastAsia="zh-CN"/>
        </w:rPr>
        <w:t>（</w:t>
      </w:r>
      <w:r>
        <w:rPr>
          <w:rFonts w:hint="eastAsia" w:ascii="Times New Roman" w:hAnsi="Times New Roman" w:cs="Times New Roman"/>
          <w:b/>
          <w:bCs/>
          <w:sz w:val="30"/>
          <w:szCs w:val="30"/>
          <w:lang w:val="en-US" w:eastAsia="zh-CN"/>
        </w:rPr>
        <w:t>二</w:t>
      </w:r>
      <w:r>
        <w:rPr>
          <w:rFonts w:hint="eastAsia" w:ascii="Times New Roman" w:hAnsi="Times New Roman" w:cs="Times New Roman"/>
          <w:b/>
          <w:bCs/>
          <w:sz w:val="30"/>
          <w:szCs w:val="30"/>
          <w:lang w:eastAsia="zh-CN"/>
        </w:rPr>
        <w:t>）</w:t>
      </w:r>
      <w:r>
        <w:rPr>
          <w:rFonts w:hint="default" w:ascii="Times New Roman" w:hAnsi="Times New Roman" w:cs="Times New Roman"/>
          <w:b/>
          <w:bCs/>
          <w:sz w:val="30"/>
          <w:szCs w:val="30"/>
          <w:lang w:eastAsia="zh-CN"/>
        </w:rPr>
        <w:t>金融与经济障碍</w:t>
      </w:r>
    </w:p>
    <w:p w14:paraId="64A0E286">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602" w:firstLineChars="200"/>
        <w:jc w:val="both"/>
        <w:textAlignment w:val="auto"/>
        <w:rPr>
          <w:rFonts w:hint="eastAsia" w:ascii="Times New Roman" w:hAnsi="Times New Roman" w:cs="Times New Roman"/>
          <w:b/>
          <w:bCs/>
          <w:sz w:val="30"/>
          <w:szCs w:val="30"/>
          <w:lang w:val="en-US" w:eastAsia="zh-CN"/>
        </w:rPr>
      </w:pPr>
      <w:r>
        <w:rPr>
          <w:rFonts w:hint="eastAsia" w:ascii="Times New Roman" w:hAnsi="Times New Roman" w:cs="Times New Roman"/>
          <w:b/>
          <w:bCs/>
          <w:sz w:val="30"/>
          <w:szCs w:val="30"/>
          <w:lang w:val="en-US" w:eastAsia="zh-CN"/>
        </w:rPr>
        <w:t>1.农食系统气候行动相关金融产品与融资工具缺乏。</w:t>
      </w:r>
      <w:r>
        <w:rPr>
          <w:rFonts w:hint="eastAsia" w:ascii="Times New Roman" w:hAnsi="Times New Roman" w:cs="Times New Roman"/>
          <w:b w:val="0"/>
          <w:bCs w:val="0"/>
          <w:sz w:val="30"/>
          <w:szCs w:val="30"/>
          <w:lang w:val="en-US" w:eastAsia="zh-CN"/>
        </w:rPr>
        <w:t>气候适应项目、小农融资等领域风险高、回报周期长，传统金融产品难以覆盖，无法有效引导私营部门参与气候行动。例如马达加斯加因干旱频发导致保险公司连年理赔亏损，推出农食系统指数保险的公司有限</w:t>
      </w:r>
      <w:r>
        <w:rPr>
          <w:rStyle w:val="11"/>
          <w:rFonts w:hint="eastAsia" w:ascii="Times New Roman" w:hAnsi="Times New Roman" w:cs="Times New Roman"/>
          <w:b w:val="0"/>
          <w:bCs w:val="0"/>
          <w:sz w:val="30"/>
          <w:szCs w:val="30"/>
          <w:lang w:val="en-US" w:eastAsia="zh-CN"/>
        </w:rPr>
        <w:footnoteReference w:id="13"/>
      </w:r>
      <w:r>
        <w:rPr>
          <w:rFonts w:hint="eastAsia" w:ascii="Times New Roman" w:hAnsi="Times New Roman" w:cs="Times New Roman"/>
          <w:b w:val="0"/>
          <w:bCs w:val="0"/>
          <w:sz w:val="30"/>
          <w:szCs w:val="30"/>
          <w:lang w:val="en-US" w:eastAsia="zh-CN"/>
        </w:rPr>
        <w:t>。</w:t>
      </w:r>
    </w:p>
    <w:p w14:paraId="186EC51E">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602" w:firstLineChars="200"/>
        <w:jc w:val="both"/>
        <w:textAlignment w:val="auto"/>
        <w:rPr>
          <w:rFonts w:hint="default" w:ascii="Times New Roman" w:hAnsi="Times New Roman" w:cs="Times New Roman"/>
          <w:sz w:val="30"/>
          <w:szCs w:val="30"/>
        </w:rPr>
      </w:pPr>
      <w:r>
        <w:rPr>
          <w:rFonts w:hint="eastAsia" w:ascii="Times New Roman" w:hAnsi="Times New Roman" w:cs="Times New Roman"/>
          <w:b/>
          <w:bCs/>
          <w:sz w:val="30"/>
          <w:szCs w:val="30"/>
          <w:lang w:val="en-US" w:eastAsia="zh-CN"/>
        </w:rPr>
        <w:t>2.</w:t>
      </w:r>
      <w:r>
        <w:rPr>
          <w:rFonts w:hint="default" w:ascii="Times New Roman" w:hAnsi="Times New Roman" w:cs="Times New Roman"/>
          <w:b/>
          <w:bCs/>
          <w:sz w:val="30"/>
          <w:szCs w:val="30"/>
        </w:rPr>
        <w:t>气候风险与投资回报不确定性</w:t>
      </w:r>
      <w:r>
        <w:rPr>
          <w:rFonts w:hint="eastAsia" w:ascii="Times New Roman" w:hAnsi="Times New Roman" w:cs="Times New Roman"/>
          <w:b/>
          <w:bCs/>
          <w:sz w:val="30"/>
          <w:szCs w:val="30"/>
          <w:lang w:val="en-US" w:eastAsia="zh-CN"/>
        </w:rPr>
        <w:t>抑制私营部门投资意愿</w:t>
      </w:r>
      <w:r>
        <w:rPr>
          <w:rFonts w:hint="eastAsia" w:ascii="Times New Roman" w:hAnsi="Times New Roman" w:cs="Times New Roman"/>
          <w:b/>
          <w:bCs/>
          <w:sz w:val="30"/>
          <w:szCs w:val="30"/>
          <w:lang w:eastAsia="zh-CN"/>
        </w:rPr>
        <w:t>。</w:t>
      </w:r>
      <w:r>
        <w:rPr>
          <w:rFonts w:hint="default" w:ascii="Times New Roman" w:hAnsi="Times New Roman" w:cs="Times New Roman"/>
          <w:sz w:val="30"/>
          <w:szCs w:val="30"/>
          <w:lang w:eastAsia="zh-CN"/>
        </w:rPr>
        <w:t>农业生产对气候敏感，尽管极端天气和气候变化带来的风险可以明确识别，但气候影响的确切性质、时间和严重程度的不确定性使农食系统气候行动的投资回报难以衡量。气候政策倡议组织（</w:t>
      </w:r>
      <w:r>
        <w:rPr>
          <w:rFonts w:hint="eastAsia" w:ascii="Times New Roman" w:hAnsi="Times New Roman" w:cs="Times New Roman"/>
          <w:sz w:val="30"/>
          <w:szCs w:val="30"/>
          <w:lang w:val="en-US" w:eastAsia="zh-CN"/>
        </w:rPr>
        <w:t>CPI</w:t>
      </w:r>
      <w:r>
        <w:rPr>
          <w:rFonts w:hint="default" w:ascii="Times New Roman" w:hAnsi="Times New Roman" w:cs="Times New Roman"/>
          <w:sz w:val="30"/>
          <w:szCs w:val="30"/>
          <w:lang w:eastAsia="zh-CN"/>
        </w:rPr>
        <w:t>）</w:t>
      </w:r>
      <w:r>
        <w:rPr>
          <w:rFonts w:hint="eastAsia" w:ascii="Times New Roman" w:hAnsi="Times New Roman" w:cs="Times New Roman"/>
          <w:sz w:val="30"/>
          <w:szCs w:val="30"/>
          <w:lang w:val="en-US" w:eastAsia="zh-CN"/>
        </w:rPr>
        <w:t>指出，</w:t>
      </w:r>
      <w:r>
        <w:rPr>
          <w:rFonts w:hint="eastAsia" w:ascii="Times New Roman" w:hAnsi="Times New Roman" w:cs="Times New Roman"/>
          <w:b w:val="0"/>
          <w:bCs w:val="0"/>
          <w:sz w:val="30"/>
          <w:szCs w:val="30"/>
          <w:lang w:val="en-US" w:eastAsia="zh-CN"/>
        </w:rPr>
        <w:t>最不发达国家（LDCs）</w:t>
      </w:r>
      <w:r>
        <w:rPr>
          <w:rFonts w:hint="eastAsia" w:ascii="Times New Roman" w:hAnsi="Times New Roman" w:cs="Times New Roman"/>
          <w:b w:val="0"/>
          <w:bCs w:val="0"/>
          <w:sz w:val="30"/>
          <w:szCs w:val="30"/>
          <w:lang w:eastAsia="zh-CN"/>
        </w:rPr>
        <w:t>的私人</w:t>
      </w:r>
      <w:r>
        <w:rPr>
          <w:rFonts w:hint="eastAsia" w:ascii="Times New Roman" w:hAnsi="Times New Roman" w:cs="Times New Roman"/>
          <w:b w:val="0"/>
          <w:bCs w:val="0"/>
          <w:sz w:val="30"/>
          <w:szCs w:val="30"/>
          <w:lang w:val="en-US" w:eastAsia="zh-CN"/>
        </w:rPr>
        <w:t>气候适应</w:t>
      </w:r>
      <w:r>
        <w:rPr>
          <w:rFonts w:hint="eastAsia" w:ascii="Times New Roman" w:hAnsi="Times New Roman" w:cs="Times New Roman"/>
          <w:b w:val="0"/>
          <w:bCs w:val="0"/>
          <w:sz w:val="30"/>
          <w:szCs w:val="30"/>
          <w:lang w:eastAsia="zh-CN"/>
        </w:rPr>
        <w:t>融资占比长期低于2%，仅1%的</w:t>
      </w:r>
      <w:r>
        <w:rPr>
          <w:rFonts w:hint="eastAsia" w:ascii="Times New Roman" w:hAnsi="Times New Roman" w:cs="Times New Roman"/>
          <w:b w:val="0"/>
          <w:bCs w:val="0"/>
          <w:sz w:val="30"/>
          <w:szCs w:val="30"/>
          <w:lang w:val="en-US" w:eastAsia="zh-CN"/>
        </w:rPr>
        <w:t>气候适应</w:t>
      </w:r>
      <w:r>
        <w:rPr>
          <w:rFonts w:hint="eastAsia" w:ascii="Times New Roman" w:hAnsi="Times New Roman" w:cs="Times New Roman"/>
          <w:b w:val="0"/>
          <w:bCs w:val="0"/>
          <w:sz w:val="30"/>
          <w:szCs w:val="30"/>
          <w:lang w:eastAsia="zh-CN"/>
        </w:rPr>
        <w:t>资金流向LDCs</w:t>
      </w:r>
      <w:r>
        <w:rPr>
          <w:rStyle w:val="11"/>
          <w:rFonts w:hint="eastAsia" w:ascii="Times New Roman" w:hAnsi="Times New Roman" w:cs="Times New Roman"/>
          <w:b w:val="0"/>
          <w:bCs w:val="0"/>
          <w:sz w:val="30"/>
          <w:szCs w:val="30"/>
          <w:lang w:eastAsia="zh-CN"/>
        </w:rPr>
        <w:footnoteReference w:id="14"/>
      </w:r>
      <w:r>
        <w:rPr>
          <w:rFonts w:hint="eastAsia" w:ascii="Times New Roman" w:hAnsi="Times New Roman" w:cs="Times New Roman"/>
          <w:b w:val="0"/>
          <w:bCs w:val="0"/>
          <w:sz w:val="30"/>
          <w:szCs w:val="30"/>
          <w:lang w:eastAsia="zh-CN"/>
        </w:rPr>
        <w:t>。</w:t>
      </w:r>
      <w:r>
        <w:rPr>
          <w:rFonts w:hint="default" w:ascii="Times New Roman" w:hAnsi="Times New Roman" w:cs="Times New Roman"/>
          <w:sz w:val="30"/>
          <w:szCs w:val="30"/>
          <w:lang w:eastAsia="zh-CN"/>
        </w:rPr>
        <w:t>长期投资回报周期与商业资本短期盈利诉求冲突，抑制私营部门投资意愿。</w:t>
      </w:r>
    </w:p>
    <w:p w14:paraId="2DDC90AC">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602" w:firstLineChars="200"/>
        <w:jc w:val="both"/>
        <w:textAlignment w:val="auto"/>
        <w:rPr>
          <w:rFonts w:hint="default" w:ascii="Times New Roman" w:hAnsi="Times New Roman" w:eastAsia="仿宋" w:cs="Times New Roman"/>
          <w:sz w:val="30"/>
          <w:szCs w:val="30"/>
          <w:lang w:eastAsia="zh-CN"/>
        </w:rPr>
      </w:pPr>
      <w:r>
        <w:rPr>
          <w:rFonts w:hint="eastAsia" w:ascii="Times New Roman" w:hAnsi="Times New Roman" w:cs="Times New Roman"/>
          <w:b/>
          <w:bCs/>
          <w:sz w:val="30"/>
          <w:szCs w:val="30"/>
          <w:lang w:val="en-US" w:eastAsia="zh-CN"/>
        </w:rPr>
        <w:t>3.私营部门自身融资困难，难以获得资金支持。</w:t>
      </w:r>
      <w:r>
        <w:rPr>
          <w:rFonts w:hint="eastAsia" w:ascii="Times New Roman" w:hAnsi="Times New Roman" w:cs="Times New Roman"/>
          <w:b w:val="0"/>
          <w:bCs w:val="0"/>
          <w:sz w:val="30"/>
          <w:szCs w:val="30"/>
          <w:lang w:val="en-US" w:eastAsia="zh-CN"/>
        </w:rPr>
        <w:t>农食系统常因其“高交易成本、高风险、低利润率”的固有特性，导致金融机构不愿介入。加之一些私营部门如农业中小企业往往</w:t>
      </w:r>
      <w:r>
        <w:rPr>
          <w:rFonts w:hint="default" w:ascii="Times New Roman" w:hAnsi="Times New Roman" w:cs="Times New Roman"/>
          <w:b w:val="0"/>
          <w:bCs w:val="0"/>
          <w:sz w:val="30"/>
          <w:szCs w:val="30"/>
        </w:rPr>
        <w:t>抵押品匮乏、信用记录缺失，难以获得气候适应性实践所需资</w:t>
      </w:r>
      <w:r>
        <w:rPr>
          <w:rFonts w:hint="eastAsia" w:ascii="Times New Roman" w:hAnsi="Times New Roman" w:cs="Times New Roman"/>
          <w:sz w:val="30"/>
          <w:szCs w:val="30"/>
          <w:lang w:val="en-US" w:eastAsia="zh-CN"/>
        </w:rPr>
        <w:t>金</w:t>
      </w:r>
      <w:r>
        <w:rPr>
          <w:rStyle w:val="11"/>
          <w:rFonts w:hint="default" w:ascii="Times New Roman" w:hAnsi="Times New Roman" w:cs="Times New Roman"/>
          <w:sz w:val="30"/>
          <w:szCs w:val="30"/>
          <w:lang w:eastAsia="zh-CN"/>
        </w:rPr>
        <w:footnoteReference w:id="15"/>
      </w:r>
      <w:r>
        <w:rPr>
          <w:rFonts w:hint="eastAsia" w:ascii="Times New Roman" w:hAnsi="Times New Roman" w:cs="Times New Roman"/>
          <w:sz w:val="30"/>
          <w:szCs w:val="30"/>
          <w:lang w:val="en-US" w:eastAsia="zh-CN"/>
        </w:rPr>
        <w:t>。撒哈拉以南非洲和东南亚的22万家农业中小企业年融资需求1600亿美元，但仅获得540亿美元支持，缺口达1060亿美元</w:t>
      </w:r>
      <w:r>
        <w:rPr>
          <w:rStyle w:val="11"/>
          <w:rFonts w:hint="eastAsia" w:ascii="Times New Roman" w:hAnsi="Times New Roman" w:cs="Times New Roman"/>
          <w:b w:val="0"/>
          <w:bCs w:val="0"/>
          <w:sz w:val="30"/>
          <w:szCs w:val="30"/>
          <w:lang w:val="en-US" w:eastAsia="zh-CN"/>
        </w:rPr>
        <w:footnoteReference w:id="16"/>
      </w:r>
      <w:r>
        <w:rPr>
          <w:rFonts w:hint="eastAsia" w:ascii="Times New Roman" w:hAnsi="Times New Roman" w:cs="Times New Roman"/>
          <w:sz w:val="30"/>
          <w:szCs w:val="30"/>
          <w:lang w:val="en-US" w:eastAsia="zh-CN"/>
        </w:rPr>
        <w:t>。</w:t>
      </w:r>
    </w:p>
    <w:p w14:paraId="6E661E81">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602" w:firstLineChars="200"/>
        <w:jc w:val="both"/>
        <w:textAlignment w:val="auto"/>
        <w:rPr>
          <w:rFonts w:hint="default" w:ascii="Times New Roman" w:hAnsi="Times New Roman" w:cs="Times New Roman"/>
          <w:b/>
          <w:bCs/>
          <w:sz w:val="30"/>
          <w:szCs w:val="30"/>
          <w:lang w:val="en-US" w:eastAsia="zh-CN"/>
        </w:rPr>
      </w:pPr>
      <w:r>
        <w:rPr>
          <w:rFonts w:hint="eastAsia" w:ascii="Times New Roman" w:hAnsi="Times New Roman" w:cs="Times New Roman"/>
          <w:b/>
          <w:bCs/>
          <w:sz w:val="30"/>
          <w:szCs w:val="30"/>
          <w:lang w:eastAsia="zh-CN"/>
        </w:rPr>
        <w:t>（</w:t>
      </w:r>
      <w:r>
        <w:rPr>
          <w:rFonts w:hint="eastAsia" w:ascii="Times New Roman" w:hAnsi="Times New Roman" w:cs="Times New Roman"/>
          <w:b/>
          <w:bCs/>
          <w:sz w:val="30"/>
          <w:szCs w:val="30"/>
          <w:lang w:val="en-US" w:eastAsia="zh-CN"/>
        </w:rPr>
        <w:t>三</w:t>
      </w:r>
      <w:r>
        <w:rPr>
          <w:rFonts w:hint="eastAsia" w:ascii="Times New Roman" w:hAnsi="Times New Roman" w:cs="Times New Roman"/>
          <w:b/>
          <w:bCs/>
          <w:sz w:val="30"/>
          <w:szCs w:val="30"/>
          <w:lang w:eastAsia="zh-CN"/>
        </w:rPr>
        <w:t>）</w:t>
      </w:r>
      <w:r>
        <w:rPr>
          <w:rFonts w:hint="default" w:ascii="Times New Roman" w:hAnsi="Times New Roman" w:cs="Times New Roman"/>
          <w:b/>
          <w:bCs/>
          <w:sz w:val="30"/>
          <w:szCs w:val="30"/>
        </w:rPr>
        <w:t>信息与能力</w:t>
      </w:r>
      <w:r>
        <w:rPr>
          <w:rFonts w:hint="default" w:ascii="Times New Roman" w:hAnsi="Times New Roman" w:cs="Times New Roman"/>
          <w:b/>
          <w:bCs/>
          <w:sz w:val="30"/>
          <w:szCs w:val="30"/>
          <w:lang w:val="en-US" w:eastAsia="zh-CN"/>
        </w:rPr>
        <w:t>障碍</w:t>
      </w:r>
    </w:p>
    <w:p w14:paraId="1E9AF02B">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600" w:firstLineChars="200"/>
        <w:jc w:val="both"/>
        <w:textAlignment w:val="auto"/>
        <w:rPr>
          <w:rFonts w:hint="default" w:ascii="Times New Roman" w:hAnsi="Times New Roman" w:cs="Times New Roman"/>
          <w:sz w:val="30"/>
          <w:szCs w:val="30"/>
          <w:lang w:val="en-US" w:eastAsia="zh-CN"/>
        </w:rPr>
      </w:pPr>
      <w:r>
        <w:rPr>
          <w:rFonts w:hint="eastAsia" w:ascii="Times New Roman" w:hAnsi="Times New Roman" w:cs="Times New Roman"/>
          <w:sz w:val="30"/>
          <w:szCs w:val="30"/>
          <w:lang w:val="en-US" w:eastAsia="zh-CN"/>
        </w:rPr>
        <w:t xml:space="preserve">1. </w:t>
      </w:r>
      <w:r>
        <w:rPr>
          <w:rFonts w:hint="eastAsia" w:ascii="Times New Roman" w:hAnsi="Times New Roman" w:cs="Times New Roman"/>
          <w:b/>
          <w:bCs/>
          <w:sz w:val="30"/>
          <w:szCs w:val="30"/>
          <w:lang w:val="en-US" w:eastAsia="zh-CN"/>
        </w:rPr>
        <w:t>农食系统数据的获取渠道有限且碎片化，私营部门决策缺乏充分依据。一是气候与风险数据不足。</w:t>
      </w:r>
      <w:r>
        <w:rPr>
          <w:rFonts w:hint="default" w:ascii="Times New Roman" w:hAnsi="Times New Roman" w:eastAsia="仿宋" w:cs="Times New Roman"/>
          <w:sz w:val="30"/>
          <w:szCs w:val="30"/>
          <w:lang w:val="en-US" w:eastAsia="zh-CN"/>
        </w:rPr>
        <w:t>气候</w:t>
      </w:r>
      <w:r>
        <w:rPr>
          <w:rFonts w:hint="default" w:ascii="Times New Roman" w:hAnsi="Times New Roman" w:eastAsia="仿宋" w:cs="Times New Roman"/>
          <w:sz w:val="30"/>
          <w:szCs w:val="30"/>
          <w:lang w:eastAsia="zh-CN"/>
        </w:rPr>
        <w:t>项目在规划和融资阶段普遍面临数据不足的问题，缺乏针对特定区域的气候风险数据</w:t>
      </w:r>
      <w:r>
        <w:rPr>
          <w:rFonts w:hint="eastAsia" w:ascii="Times New Roman" w:hAnsi="Times New Roman" w:cs="Times New Roman"/>
          <w:sz w:val="30"/>
          <w:szCs w:val="30"/>
          <w:lang w:eastAsia="zh-CN"/>
        </w:rPr>
        <w:t>，</w:t>
      </w:r>
      <w:r>
        <w:rPr>
          <w:rFonts w:hint="eastAsia" w:ascii="Times New Roman" w:hAnsi="Times New Roman" w:cs="Times New Roman"/>
          <w:sz w:val="30"/>
          <w:szCs w:val="30"/>
          <w:lang w:val="en-US" w:eastAsia="zh-CN"/>
        </w:rPr>
        <w:t>一些发展中国家农村地区网络覆盖率低、数据采集设备匮乏，也限制了数据获取。例如</w:t>
      </w:r>
      <w:r>
        <w:rPr>
          <w:rFonts w:hint="default" w:ascii="Times New Roman" w:hAnsi="Times New Roman" w:eastAsia="仿宋" w:cs="Times New Roman"/>
          <w:sz w:val="30"/>
          <w:szCs w:val="30"/>
          <w:lang w:eastAsia="zh-CN"/>
        </w:rPr>
        <w:t>马达加斯加气象站覆盖率仅30个，农村地区银行覆盖率不足10%，缺乏精细气候数据，导致保险公司难以评估农业保险风险</w:t>
      </w:r>
      <w:r>
        <w:rPr>
          <w:rStyle w:val="11"/>
          <w:rFonts w:hint="default" w:ascii="Times New Roman" w:hAnsi="Times New Roman" w:eastAsia="仿宋" w:cs="Times New Roman"/>
          <w:sz w:val="30"/>
          <w:szCs w:val="30"/>
          <w:lang w:eastAsia="zh-CN"/>
        </w:rPr>
        <w:footnoteReference w:id="17"/>
      </w:r>
      <w:r>
        <w:rPr>
          <w:rFonts w:hint="default" w:ascii="Times New Roman" w:hAnsi="Times New Roman" w:eastAsia="仿宋" w:cs="Times New Roman"/>
          <w:sz w:val="30"/>
          <w:szCs w:val="30"/>
          <w:lang w:eastAsia="zh-CN"/>
        </w:rPr>
        <w:t>。</w:t>
      </w:r>
      <w:r>
        <w:rPr>
          <w:rFonts w:hint="eastAsia" w:ascii="Times New Roman" w:hAnsi="Times New Roman" w:cs="Times New Roman"/>
          <w:b/>
          <w:bCs/>
          <w:sz w:val="30"/>
          <w:szCs w:val="30"/>
          <w:lang w:val="en-US" w:eastAsia="zh-CN"/>
        </w:rPr>
        <w:t>二是供应链与市场数据碎片化。</w:t>
      </w:r>
      <w:r>
        <w:rPr>
          <w:rFonts w:hint="eastAsia" w:ascii="Times New Roman" w:hAnsi="Times New Roman" w:cs="Times New Roman"/>
          <w:sz w:val="30"/>
          <w:szCs w:val="30"/>
          <w:lang w:val="en-US" w:eastAsia="zh-CN"/>
        </w:rPr>
        <w:t>农食系统价值链数据分散，缺乏统一平台整合，如缅甸80%农业企业为中小微企业，投资分散，尽职调查成本高，难以掌握全链条信息</w:t>
      </w:r>
      <w:r>
        <w:rPr>
          <w:rStyle w:val="11"/>
          <w:rFonts w:hint="eastAsia" w:ascii="Times New Roman" w:hAnsi="Times New Roman" w:cs="Times New Roman"/>
          <w:sz w:val="30"/>
          <w:szCs w:val="30"/>
          <w:lang w:val="en-US" w:eastAsia="zh-CN"/>
        </w:rPr>
        <w:footnoteReference w:id="18"/>
      </w:r>
      <w:r>
        <w:rPr>
          <w:rFonts w:hint="eastAsia" w:ascii="Times New Roman" w:hAnsi="Times New Roman" w:cs="Times New Roman"/>
          <w:sz w:val="30"/>
          <w:szCs w:val="30"/>
          <w:lang w:val="en-US" w:eastAsia="zh-CN"/>
        </w:rPr>
        <w:t>。</w:t>
      </w:r>
    </w:p>
    <w:p w14:paraId="718A8353">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600" w:firstLineChars="200"/>
        <w:jc w:val="both"/>
        <w:textAlignment w:val="auto"/>
        <w:rPr>
          <w:rFonts w:hint="eastAsia" w:ascii="Times New Roman" w:hAnsi="Times New Roman" w:cs="Times New Roman"/>
          <w:sz w:val="30"/>
          <w:szCs w:val="30"/>
          <w:lang w:val="en-US" w:eastAsia="zh-CN"/>
        </w:rPr>
      </w:pPr>
      <w:r>
        <w:rPr>
          <w:rFonts w:hint="eastAsia" w:ascii="Times New Roman" w:hAnsi="Times New Roman" w:cs="Times New Roman"/>
          <w:sz w:val="30"/>
          <w:szCs w:val="30"/>
          <w:lang w:val="en-US" w:eastAsia="zh-CN"/>
        </w:rPr>
        <w:t xml:space="preserve">2. </w:t>
      </w:r>
      <w:r>
        <w:rPr>
          <w:rFonts w:hint="eastAsia" w:ascii="Times New Roman" w:hAnsi="Times New Roman" w:cs="Times New Roman"/>
          <w:b/>
          <w:bCs/>
          <w:sz w:val="30"/>
          <w:szCs w:val="30"/>
          <w:lang w:val="en-US" w:eastAsia="zh-CN"/>
        </w:rPr>
        <w:t>私营部门</w:t>
      </w:r>
      <w:r>
        <w:rPr>
          <w:rFonts w:hint="default" w:ascii="Times New Roman" w:hAnsi="Times New Roman" w:cs="Times New Roman"/>
          <w:b/>
          <w:bCs/>
          <w:sz w:val="30"/>
          <w:szCs w:val="30"/>
          <w:lang w:val="en-US" w:eastAsia="zh-CN"/>
        </w:rPr>
        <w:t>认知局限</w:t>
      </w:r>
      <w:r>
        <w:rPr>
          <w:rFonts w:hint="eastAsia" w:ascii="Times New Roman" w:hAnsi="Times New Roman" w:cs="Times New Roman"/>
          <w:b/>
          <w:bCs/>
          <w:sz w:val="30"/>
          <w:szCs w:val="30"/>
          <w:lang w:val="en-US" w:eastAsia="zh-CN"/>
        </w:rPr>
        <w:t>，</w:t>
      </w:r>
      <w:r>
        <w:rPr>
          <w:rFonts w:hint="default" w:ascii="Times New Roman" w:hAnsi="Times New Roman" w:cs="Times New Roman"/>
          <w:b/>
          <w:bCs/>
          <w:sz w:val="30"/>
          <w:szCs w:val="30"/>
          <w:lang w:val="en-US" w:eastAsia="zh-CN"/>
        </w:rPr>
        <w:t>作出有效决策的能力存在不足。</w:t>
      </w:r>
      <w:r>
        <w:rPr>
          <w:rFonts w:hint="default" w:ascii="Times New Roman" w:hAnsi="Times New Roman" w:cs="Times New Roman"/>
          <w:sz w:val="30"/>
          <w:szCs w:val="30"/>
          <w:lang w:val="en-US" w:eastAsia="zh-CN"/>
        </w:rPr>
        <w:t>受知识、信息和资金差距制约，低碳与气候适应技术的可用性及推广有限，同时对相关技术和商业模式的认知不足，阻碍技术落地与应用。私营</w:t>
      </w:r>
      <w:r>
        <w:rPr>
          <w:rFonts w:hint="eastAsia" w:ascii="Times New Roman" w:hAnsi="Times New Roman" w:cs="Times New Roman"/>
          <w:sz w:val="30"/>
          <w:szCs w:val="30"/>
          <w:lang w:val="en-US" w:eastAsia="zh-CN"/>
        </w:rPr>
        <w:t>部门</w:t>
      </w:r>
      <w:r>
        <w:rPr>
          <w:rFonts w:hint="default" w:ascii="Times New Roman" w:hAnsi="Times New Roman" w:cs="Times New Roman"/>
          <w:sz w:val="30"/>
          <w:szCs w:val="30"/>
          <w:lang w:val="en-US" w:eastAsia="zh-CN"/>
        </w:rPr>
        <w:t>和农民缺乏气候风险管理与损失控制的专业知识</w:t>
      </w:r>
      <w:r>
        <w:rPr>
          <w:rFonts w:hint="eastAsia" w:ascii="Times New Roman" w:hAnsi="Times New Roman" w:cs="Times New Roman"/>
          <w:sz w:val="30"/>
          <w:szCs w:val="30"/>
          <w:lang w:val="en-US" w:eastAsia="zh-CN"/>
        </w:rPr>
        <w:t>，</w:t>
      </w:r>
      <w:r>
        <w:rPr>
          <w:rFonts w:hint="default" w:ascii="Times New Roman" w:hAnsi="Times New Roman" w:cs="Times New Roman"/>
          <w:sz w:val="30"/>
          <w:szCs w:val="30"/>
          <w:lang w:val="en-US" w:eastAsia="zh-CN"/>
        </w:rPr>
        <w:t>部分国家私营部门对气候变化的业务影响认知不足，存在将常规可持续发展工作误判为气候行动的现象，且多采用短期策略，缺乏推动系统变革的长期方案</w:t>
      </w:r>
      <w:r>
        <w:rPr>
          <w:rFonts w:hint="eastAsia" w:ascii="Times New Roman" w:hAnsi="Times New Roman" w:cs="Times New Roman"/>
          <w:sz w:val="30"/>
          <w:szCs w:val="30"/>
          <w:lang w:val="en-US" w:eastAsia="zh-CN"/>
        </w:rPr>
        <w:t>。</w:t>
      </w:r>
    </w:p>
    <w:p w14:paraId="71B184F6">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602" w:firstLineChars="200"/>
        <w:jc w:val="both"/>
        <w:textAlignment w:val="auto"/>
        <w:rPr>
          <w:rFonts w:hint="default" w:ascii="Times New Roman" w:hAnsi="Times New Roman" w:cs="Times New Roman"/>
          <w:sz w:val="30"/>
          <w:szCs w:val="30"/>
          <w:lang w:val="en-US" w:eastAsia="zh-CN"/>
        </w:rPr>
      </w:pPr>
      <w:r>
        <w:rPr>
          <w:rFonts w:hint="eastAsia" w:ascii="Times New Roman" w:hAnsi="Times New Roman" w:cs="Times New Roman"/>
          <w:b/>
          <w:bCs/>
          <w:sz w:val="30"/>
          <w:szCs w:val="30"/>
          <w:lang w:val="en-US" w:eastAsia="zh-CN"/>
        </w:rPr>
        <w:t>3.</w:t>
      </w:r>
      <w:r>
        <w:rPr>
          <w:rFonts w:hint="default" w:ascii="Times New Roman" w:hAnsi="Times New Roman" w:cs="Times New Roman"/>
          <w:b/>
          <w:bCs/>
          <w:sz w:val="30"/>
          <w:szCs w:val="30"/>
          <w:lang w:val="en-US" w:eastAsia="zh-CN"/>
        </w:rPr>
        <w:t>不同机构间缺乏沟通与知识共享</w:t>
      </w:r>
      <w:r>
        <w:rPr>
          <w:rFonts w:hint="eastAsia" w:ascii="Times New Roman" w:hAnsi="Times New Roman" w:cs="Times New Roman"/>
          <w:b/>
          <w:bCs/>
          <w:sz w:val="30"/>
          <w:szCs w:val="30"/>
          <w:lang w:val="en-US" w:eastAsia="zh-CN"/>
        </w:rPr>
        <w:t>，气候融资数据披露机制缺失。</w:t>
      </w:r>
      <w:r>
        <w:rPr>
          <w:rFonts w:hint="eastAsia" w:ascii="Times New Roman" w:hAnsi="Times New Roman" w:cs="Times New Roman"/>
          <w:b w:val="0"/>
          <w:bCs w:val="0"/>
          <w:sz w:val="30"/>
          <w:szCs w:val="30"/>
          <w:lang w:val="en-US" w:eastAsia="zh-CN"/>
        </w:rPr>
        <w:t>公私部门、企业间因数据权限、利益诉求或行政层级差异，数据壁垒高，缺乏跨领域协作平台，形成信息流通障碍，</w:t>
      </w:r>
      <w:r>
        <w:rPr>
          <w:rFonts w:hint="default" w:ascii="Times New Roman" w:hAnsi="Times New Roman" w:cs="Times New Roman"/>
          <w:sz w:val="30"/>
          <w:szCs w:val="30"/>
          <w:lang w:val="en-US" w:eastAsia="zh-CN"/>
        </w:rPr>
        <w:t>造成应对措施协调失效、工作重复，难以形成系统性解决方案。</w:t>
      </w:r>
      <w:r>
        <w:rPr>
          <w:rFonts w:hint="eastAsia" w:ascii="Times New Roman" w:hAnsi="Times New Roman" w:cs="Times New Roman"/>
          <w:b w:val="0"/>
          <w:bCs w:val="0"/>
          <w:sz w:val="30"/>
          <w:szCs w:val="30"/>
          <w:lang w:val="en-US" w:eastAsia="zh-CN"/>
        </w:rPr>
        <w:t>一些融资与项目数据透明度不足，私营部门难以识别可投资项目，例如2019/20年全球农业食品气候融资中，仅42%的NDCs披露资金来源，37%的NDCs提供了农业食品融资需求细分数据，私人融资需求缺乏统计</w:t>
      </w:r>
      <w:r>
        <w:rPr>
          <w:rStyle w:val="11"/>
          <w:rFonts w:hint="eastAsia" w:ascii="Times New Roman" w:hAnsi="Times New Roman" w:cs="Times New Roman"/>
          <w:b w:val="0"/>
          <w:bCs w:val="0"/>
          <w:sz w:val="30"/>
          <w:szCs w:val="30"/>
          <w:lang w:val="en-US" w:eastAsia="zh-CN"/>
        </w:rPr>
        <w:footnoteReference w:id="19"/>
      </w:r>
      <w:r>
        <w:rPr>
          <w:rFonts w:hint="eastAsia" w:ascii="Times New Roman" w:hAnsi="Times New Roman" w:cs="Times New Roman"/>
          <w:b w:val="0"/>
          <w:bCs w:val="0"/>
          <w:sz w:val="30"/>
          <w:szCs w:val="30"/>
          <w:lang w:val="en-US" w:eastAsia="zh-CN"/>
        </w:rPr>
        <w:t>。</w:t>
      </w:r>
    </w:p>
    <w:p w14:paraId="624A543A">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602" w:firstLineChars="200"/>
        <w:jc w:val="both"/>
        <w:textAlignment w:val="auto"/>
        <w:rPr>
          <w:rFonts w:hint="default" w:ascii="Times New Roman" w:hAnsi="Times New Roman" w:cs="Times New Roman"/>
          <w:b/>
          <w:bCs/>
          <w:sz w:val="30"/>
          <w:szCs w:val="30"/>
          <w:lang w:val="en-US" w:eastAsia="zh-CN"/>
        </w:rPr>
      </w:pPr>
      <w:r>
        <w:rPr>
          <w:rFonts w:hint="default" w:ascii="Times New Roman" w:hAnsi="Times New Roman" w:cs="Times New Roman"/>
          <w:b/>
          <w:bCs/>
          <w:sz w:val="30"/>
          <w:szCs w:val="30"/>
          <w:lang w:eastAsia="zh-CN"/>
        </w:rPr>
        <w:t>（</w:t>
      </w:r>
      <w:r>
        <w:rPr>
          <w:rFonts w:hint="default" w:ascii="Times New Roman" w:hAnsi="Times New Roman" w:cs="Times New Roman"/>
          <w:b/>
          <w:bCs/>
          <w:sz w:val="30"/>
          <w:szCs w:val="30"/>
          <w:lang w:val="en-US" w:eastAsia="zh-CN"/>
        </w:rPr>
        <w:t>四</w:t>
      </w:r>
      <w:r>
        <w:rPr>
          <w:rFonts w:hint="default" w:ascii="Times New Roman" w:hAnsi="Times New Roman" w:cs="Times New Roman"/>
          <w:b/>
          <w:bCs/>
          <w:sz w:val="30"/>
          <w:szCs w:val="30"/>
          <w:lang w:eastAsia="zh-CN"/>
        </w:rPr>
        <w:t>）</w:t>
      </w:r>
      <w:r>
        <w:rPr>
          <w:rFonts w:hint="default" w:ascii="Times New Roman" w:hAnsi="Times New Roman" w:cs="Times New Roman"/>
          <w:b/>
          <w:bCs/>
          <w:sz w:val="30"/>
          <w:szCs w:val="30"/>
        </w:rPr>
        <w:t>生产与市场</w:t>
      </w:r>
      <w:r>
        <w:rPr>
          <w:rFonts w:hint="default" w:ascii="Times New Roman" w:hAnsi="Times New Roman" w:cs="Times New Roman"/>
          <w:b/>
          <w:bCs/>
          <w:sz w:val="30"/>
          <w:szCs w:val="30"/>
          <w:lang w:val="en-US" w:eastAsia="zh-CN"/>
        </w:rPr>
        <w:t>障碍</w:t>
      </w:r>
    </w:p>
    <w:p w14:paraId="12EE6983">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602" w:firstLineChars="200"/>
        <w:jc w:val="both"/>
        <w:textAlignment w:val="auto"/>
        <w:rPr>
          <w:rFonts w:hint="default" w:ascii="Times New Roman" w:hAnsi="Times New Roman" w:cs="Times New Roman"/>
          <w:sz w:val="30"/>
          <w:szCs w:val="30"/>
        </w:rPr>
      </w:pPr>
      <w:r>
        <w:rPr>
          <w:rFonts w:hint="default" w:ascii="Times New Roman" w:hAnsi="Times New Roman" w:cs="Times New Roman"/>
          <w:b/>
          <w:bCs/>
          <w:sz w:val="30"/>
          <w:szCs w:val="30"/>
        </w:rPr>
        <w:t>1. 农业生产与基础设施支撑不足</w:t>
      </w:r>
      <w:r>
        <w:rPr>
          <w:rFonts w:hint="eastAsia" w:ascii="Times New Roman" w:hAnsi="Times New Roman" w:cs="Times New Roman"/>
          <w:b/>
          <w:bCs/>
          <w:sz w:val="30"/>
          <w:szCs w:val="30"/>
          <w:lang w:eastAsia="zh-CN"/>
        </w:rPr>
        <w:t>。</w:t>
      </w:r>
      <w:r>
        <w:rPr>
          <w:rFonts w:hint="default" w:ascii="Times New Roman" w:hAnsi="Times New Roman" w:cs="Times New Roman"/>
          <w:sz w:val="30"/>
          <w:szCs w:val="30"/>
        </w:rPr>
        <w:t>对作物多样化和农业实践的支持欠缺，分散农业社区难以</w:t>
      </w:r>
      <w:r>
        <w:rPr>
          <w:rFonts w:hint="eastAsia" w:ascii="Times New Roman" w:hAnsi="Times New Roman" w:cs="Times New Roman"/>
          <w:sz w:val="30"/>
          <w:szCs w:val="30"/>
          <w:lang w:val="en-US" w:eastAsia="zh-CN"/>
        </w:rPr>
        <w:t>触及。</w:t>
      </w:r>
      <w:r>
        <w:rPr>
          <w:rFonts w:hint="default" w:ascii="Times New Roman" w:hAnsi="Times New Roman" w:cs="Times New Roman"/>
          <w:sz w:val="30"/>
          <w:szCs w:val="30"/>
        </w:rPr>
        <w:t>道路、灌溉、能源及储存等基础设施建设落后，严重制约农业生产力发展，阻碍价值链构建与资源整合，导致农业生产结构单一，难以适应市场与气候风险。</w:t>
      </w:r>
    </w:p>
    <w:p w14:paraId="2092A1D9">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602" w:firstLineChars="200"/>
        <w:jc w:val="both"/>
        <w:textAlignment w:val="auto"/>
        <w:rPr>
          <w:rFonts w:hint="default" w:ascii="Times New Roman" w:hAnsi="Times New Roman" w:cs="Times New Roman"/>
          <w:sz w:val="30"/>
          <w:szCs w:val="30"/>
        </w:rPr>
      </w:pPr>
      <w:r>
        <w:rPr>
          <w:rFonts w:hint="default" w:ascii="Times New Roman" w:hAnsi="Times New Roman" w:cs="Times New Roman"/>
          <w:b/>
          <w:bCs/>
          <w:sz w:val="30"/>
          <w:szCs w:val="30"/>
        </w:rPr>
        <w:t>2.私营部门行动缺乏协同性，资源分散、效率低下</w:t>
      </w:r>
      <w:r>
        <w:rPr>
          <w:rFonts w:hint="eastAsia" w:ascii="Times New Roman" w:hAnsi="Times New Roman" w:cs="Times New Roman"/>
          <w:b/>
          <w:bCs/>
          <w:sz w:val="30"/>
          <w:szCs w:val="30"/>
          <w:lang w:eastAsia="zh-CN"/>
        </w:rPr>
        <w:t>。</w:t>
      </w:r>
      <w:r>
        <w:rPr>
          <w:rFonts w:hint="default" w:ascii="Times New Roman" w:hAnsi="Times New Roman" w:cs="Times New Roman"/>
          <w:sz w:val="30"/>
          <w:szCs w:val="30"/>
        </w:rPr>
        <w:t>贸易壁垒的存在严重制约市场准入，农业生产与消费需求的结构性错位，致使产销失衡问题持续加剧。与此同时，农业商业协会、农民合作社与政府间的沟通机制不畅，导致政策制定与实际需求出现脱节，进而大幅削弱了政策支持的实施效能。</w:t>
      </w:r>
    </w:p>
    <w:p w14:paraId="3DB03A24">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602" w:firstLineChars="200"/>
        <w:jc w:val="both"/>
        <w:textAlignment w:val="auto"/>
        <w:rPr>
          <w:rFonts w:hint="default" w:ascii="Times New Roman" w:hAnsi="Times New Roman" w:eastAsia="仿宋" w:cs="Times New Roman"/>
          <w:sz w:val="30"/>
          <w:szCs w:val="30"/>
          <w:lang w:val="en-US" w:eastAsia="zh-CN"/>
        </w:rPr>
      </w:pPr>
      <w:r>
        <w:rPr>
          <w:rFonts w:hint="eastAsia" w:ascii="Times New Roman" w:hAnsi="Times New Roman" w:cs="Times New Roman"/>
          <w:b/>
          <w:bCs/>
          <w:sz w:val="30"/>
          <w:szCs w:val="30"/>
          <w:lang w:val="en-US" w:eastAsia="zh-CN"/>
        </w:rPr>
        <w:t>3.少数企业垄断市场导致中小农户参与度不足。</w:t>
      </w:r>
      <w:r>
        <w:rPr>
          <w:rFonts w:hint="eastAsia" w:ascii="Times New Roman" w:hAnsi="Times New Roman" w:cs="Times New Roman"/>
          <w:sz w:val="30"/>
          <w:szCs w:val="30"/>
          <w:lang w:val="en-US" w:eastAsia="zh-CN"/>
        </w:rPr>
        <w:t>全球农业投入和产出市场被少数大型企业主导，如种子市场前10家企业控制了70%份额，粮食贸易则长期被ADM、邦吉、嘉吉、路易达孚四大粮商主导垄断。这导致中小农户议价能力弱，供应链韧性不足，且可能抑制农食领域的科技创新</w:t>
      </w:r>
      <w:r>
        <w:rPr>
          <w:rStyle w:val="11"/>
          <w:rFonts w:hint="eastAsia" w:ascii="Times New Roman" w:hAnsi="Times New Roman" w:cs="Times New Roman"/>
          <w:sz w:val="30"/>
          <w:szCs w:val="30"/>
          <w:lang w:val="en-US" w:eastAsia="zh-CN"/>
        </w:rPr>
        <w:footnoteReference w:id="20"/>
      </w:r>
      <w:r>
        <w:rPr>
          <w:rFonts w:hint="eastAsia" w:ascii="Times New Roman" w:hAnsi="Times New Roman" w:cs="Times New Roman"/>
          <w:sz w:val="30"/>
          <w:szCs w:val="30"/>
          <w:lang w:val="en-US" w:eastAsia="zh-CN"/>
        </w:rPr>
        <w:t>。</w:t>
      </w:r>
    </w:p>
    <w:p w14:paraId="1D6D50B2">
      <w:pPr>
        <w:keepNext w:val="0"/>
        <w:keepLines w:val="0"/>
        <w:pageBreakBefore w:val="0"/>
        <w:widowControl w:val="0"/>
        <w:numPr>
          <w:ilvl w:val="0"/>
          <w:numId w:val="1"/>
        </w:numPr>
        <w:kinsoku/>
        <w:wordWrap/>
        <w:overflowPunct/>
        <w:topLinePunct w:val="0"/>
        <w:autoSpaceDE/>
        <w:autoSpaceDN/>
        <w:bidi w:val="0"/>
        <w:adjustRightInd/>
        <w:snapToGrid/>
        <w:spacing w:line="240" w:lineRule="auto"/>
        <w:textAlignment w:val="auto"/>
        <w:rPr>
          <w:rFonts w:hint="default" w:ascii="Times New Roman" w:hAnsi="Times New Roman" w:eastAsia="黑体" w:cs="Times New Roman"/>
          <w:sz w:val="30"/>
          <w:szCs w:val="30"/>
          <w:lang w:val="en-US" w:eastAsia="zh-CN"/>
        </w:rPr>
      </w:pPr>
      <w:r>
        <w:rPr>
          <w:rFonts w:hint="default" w:ascii="Times New Roman" w:hAnsi="Times New Roman" w:eastAsia="黑体" w:cs="Times New Roman"/>
          <w:sz w:val="30"/>
          <w:szCs w:val="30"/>
          <w:lang w:val="en-US" w:eastAsia="zh-CN"/>
        </w:rPr>
        <w:t>推动私营部门参与农食系统气候行动的措施</w:t>
      </w:r>
    </w:p>
    <w:p w14:paraId="39A28DE6">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600" w:firstLineChars="200"/>
        <w:jc w:val="both"/>
        <w:textAlignment w:val="auto"/>
        <w:rPr>
          <w:rFonts w:hint="default" w:ascii="Times New Roman" w:hAnsi="Times New Roman" w:cs="Times New Roman"/>
          <w:sz w:val="30"/>
          <w:szCs w:val="30"/>
          <w:lang w:eastAsia="zh-CN"/>
        </w:rPr>
      </w:pPr>
      <w:r>
        <w:rPr>
          <w:rFonts w:hint="default" w:ascii="Times New Roman" w:hAnsi="Times New Roman" w:cs="Times New Roman"/>
          <w:sz w:val="30"/>
          <w:szCs w:val="30"/>
          <w:lang w:eastAsia="zh-CN"/>
        </w:rPr>
        <w:t>依据实施路径与作用机制，</w:t>
      </w:r>
      <w:r>
        <w:rPr>
          <w:rFonts w:hint="default" w:ascii="Times New Roman" w:hAnsi="Times New Roman" w:cs="Times New Roman"/>
          <w:sz w:val="30"/>
          <w:szCs w:val="30"/>
          <w:lang w:val="en-US" w:eastAsia="zh-CN"/>
        </w:rPr>
        <w:t>应对</w:t>
      </w:r>
      <w:r>
        <w:rPr>
          <w:rFonts w:hint="default" w:ascii="Times New Roman" w:hAnsi="Times New Roman" w:cs="Times New Roman"/>
          <w:sz w:val="30"/>
          <w:szCs w:val="30"/>
          <w:lang w:eastAsia="zh-CN"/>
        </w:rPr>
        <w:t>策略可划分为政策</w:t>
      </w:r>
      <w:r>
        <w:rPr>
          <w:rFonts w:hint="default" w:ascii="Times New Roman" w:hAnsi="Times New Roman" w:cs="Times New Roman"/>
          <w:sz w:val="30"/>
          <w:szCs w:val="30"/>
          <w:lang w:val="en-US" w:eastAsia="zh-CN"/>
        </w:rPr>
        <w:t>措施</w:t>
      </w:r>
      <w:r>
        <w:rPr>
          <w:rFonts w:hint="default" w:ascii="Times New Roman" w:hAnsi="Times New Roman" w:cs="Times New Roman"/>
          <w:sz w:val="30"/>
          <w:szCs w:val="30"/>
          <w:lang w:eastAsia="zh-CN"/>
        </w:rPr>
        <w:t>、</w:t>
      </w:r>
      <w:r>
        <w:rPr>
          <w:rFonts w:hint="default" w:ascii="Times New Roman" w:hAnsi="Times New Roman" w:cs="Times New Roman"/>
          <w:sz w:val="30"/>
          <w:szCs w:val="30"/>
          <w:lang w:val="en-US" w:eastAsia="zh-CN"/>
        </w:rPr>
        <w:t>金融措施</w:t>
      </w:r>
      <w:r>
        <w:rPr>
          <w:rFonts w:hint="default" w:ascii="Times New Roman" w:hAnsi="Times New Roman" w:cs="Times New Roman"/>
          <w:sz w:val="30"/>
          <w:szCs w:val="30"/>
          <w:lang w:eastAsia="zh-CN"/>
        </w:rPr>
        <w:t>及技术援助</w:t>
      </w:r>
      <w:r>
        <w:rPr>
          <w:rFonts w:hint="default" w:ascii="Times New Roman" w:hAnsi="Times New Roman" w:cs="Times New Roman"/>
          <w:sz w:val="30"/>
          <w:szCs w:val="30"/>
          <w:lang w:val="en-US" w:eastAsia="zh-CN"/>
        </w:rPr>
        <w:t>措施三大</w:t>
      </w:r>
      <w:r>
        <w:rPr>
          <w:rFonts w:hint="default" w:ascii="Times New Roman" w:hAnsi="Times New Roman" w:cs="Times New Roman"/>
          <w:sz w:val="30"/>
          <w:szCs w:val="30"/>
          <w:lang w:eastAsia="zh-CN"/>
        </w:rPr>
        <w:t>类别</w:t>
      </w:r>
      <w:r>
        <w:rPr>
          <w:rFonts w:hint="eastAsia" w:ascii="Times New Roman" w:hAnsi="Times New Roman" w:cs="Times New Roman"/>
          <w:sz w:val="30"/>
          <w:szCs w:val="30"/>
          <w:lang w:eastAsia="zh-CN"/>
        </w:rPr>
        <w:t>，</w:t>
      </w:r>
      <w:r>
        <w:rPr>
          <w:rFonts w:hint="default" w:ascii="Times New Roman" w:hAnsi="Times New Roman" w:cs="Times New Roman"/>
          <w:sz w:val="30"/>
          <w:szCs w:val="30"/>
          <w:lang w:eastAsia="zh-CN"/>
        </w:rPr>
        <w:t>均</w:t>
      </w:r>
      <w:r>
        <w:rPr>
          <w:rFonts w:hint="default" w:ascii="Times New Roman" w:hAnsi="Times New Roman" w:cs="Times New Roman"/>
          <w:sz w:val="30"/>
          <w:szCs w:val="30"/>
          <w:lang w:val="en-US" w:eastAsia="zh-CN"/>
        </w:rPr>
        <w:t>可</w:t>
      </w:r>
      <w:r>
        <w:rPr>
          <w:rFonts w:hint="default" w:ascii="Times New Roman" w:hAnsi="Times New Roman" w:cs="Times New Roman"/>
          <w:sz w:val="30"/>
          <w:szCs w:val="30"/>
          <w:lang w:eastAsia="zh-CN"/>
        </w:rPr>
        <w:t>从不同维度共同推动农食气候行动领域的可持续发展。</w:t>
      </w:r>
    </w:p>
    <w:p w14:paraId="7EEF6146">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602" w:firstLineChars="200"/>
        <w:jc w:val="both"/>
        <w:textAlignment w:val="auto"/>
        <w:rPr>
          <w:rFonts w:hint="default" w:ascii="Times New Roman" w:hAnsi="Times New Roman" w:cs="Times New Roman"/>
          <w:b/>
          <w:bCs/>
          <w:sz w:val="30"/>
          <w:szCs w:val="30"/>
          <w:lang w:val="en-US" w:eastAsia="zh-CN"/>
        </w:rPr>
      </w:pPr>
      <w:r>
        <w:rPr>
          <w:rFonts w:hint="default" w:ascii="Times New Roman" w:hAnsi="Times New Roman" w:cs="Times New Roman"/>
          <w:b/>
          <w:bCs/>
          <w:sz w:val="30"/>
          <w:szCs w:val="30"/>
          <w:lang w:val="en-US" w:eastAsia="zh-CN"/>
        </w:rPr>
        <w:t>（一）</w:t>
      </w:r>
      <w:r>
        <w:rPr>
          <w:rFonts w:hint="eastAsia" w:ascii="Times New Roman" w:hAnsi="Times New Roman" w:cs="Times New Roman"/>
          <w:b/>
          <w:bCs/>
          <w:sz w:val="30"/>
          <w:szCs w:val="30"/>
          <w:lang w:val="en-US" w:eastAsia="zh-CN"/>
        </w:rPr>
        <w:t>加强</w:t>
      </w:r>
      <w:r>
        <w:rPr>
          <w:rFonts w:hint="default" w:ascii="Times New Roman" w:hAnsi="Times New Roman" w:cs="Times New Roman"/>
          <w:b/>
          <w:bCs/>
          <w:sz w:val="30"/>
          <w:szCs w:val="30"/>
          <w:lang w:val="en-US" w:eastAsia="zh-CN"/>
        </w:rPr>
        <w:t>政策引导</w:t>
      </w:r>
      <w:r>
        <w:rPr>
          <w:rFonts w:hint="eastAsia" w:ascii="Times New Roman" w:hAnsi="Times New Roman" w:cs="Times New Roman"/>
          <w:b/>
          <w:bCs/>
          <w:sz w:val="30"/>
          <w:szCs w:val="30"/>
          <w:lang w:val="en-US" w:eastAsia="zh-CN"/>
        </w:rPr>
        <w:t>：明确私营部门权责，完善相关监管标准以及发展公私合作模式</w:t>
      </w:r>
    </w:p>
    <w:p w14:paraId="38DAA04C">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602" w:firstLineChars="200"/>
        <w:jc w:val="both"/>
        <w:textAlignment w:val="auto"/>
        <w:rPr>
          <w:rFonts w:hint="default" w:ascii="Times New Roman" w:hAnsi="Times New Roman" w:cs="Times New Roman"/>
          <w:sz w:val="30"/>
          <w:szCs w:val="30"/>
          <w:lang w:val="en-US" w:eastAsia="zh-CN"/>
        </w:rPr>
      </w:pPr>
      <w:r>
        <w:rPr>
          <w:rFonts w:hint="eastAsia" w:ascii="Times New Roman" w:hAnsi="Times New Roman" w:cs="Times New Roman"/>
          <w:b/>
          <w:bCs/>
          <w:sz w:val="30"/>
          <w:szCs w:val="30"/>
          <w:lang w:val="en-US" w:eastAsia="zh-CN"/>
        </w:rPr>
        <w:t>一是</w:t>
      </w:r>
      <w:r>
        <w:rPr>
          <w:rFonts w:hint="default" w:ascii="Times New Roman" w:hAnsi="Times New Roman" w:cs="Times New Roman"/>
          <w:b/>
          <w:bCs/>
          <w:sz w:val="30"/>
          <w:szCs w:val="30"/>
          <w:lang w:val="en-US" w:eastAsia="zh-CN"/>
        </w:rPr>
        <w:t>在国家自主贡献（NDCs）和国家适应计划（NAPs）中明确私营部门的参与路径与权责。</w:t>
      </w:r>
      <w:r>
        <w:rPr>
          <w:rFonts w:hint="default" w:ascii="Times New Roman" w:hAnsi="Times New Roman" w:cs="Times New Roman"/>
          <w:sz w:val="30"/>
          <w:szCs w:val="30"/>
          <w:lang w:val="en-US" w:eastAsia="zh-CN"/>
        </w:rPr>
        <w:t>如乌干达NAP中就由农畜渔业部（MAAIF）牵头，下设农业气候变化协调小组及气候智能型农业工作组，将私营部门也涵盖在组织成员内，以实现透明和有效的协调信息和知识的流动，同时明确私营部门的角色和职责</w:t>
      </w:r>
      <w:r>
        <w:rPr>
          <w:rStyle w:val="11"/>
          <w:rFonts w:hint="default" w:ascii="Times New Roman" w:hAnsi="Times New Roman" w:cs="Times New Roman"/>
          <w:sz w:val="30"/>
          <w:szCs w:val="30"/>
          <w:lang w:val="en-US" w:eastAsia="zh-CN"/>
        </w:rPr>
        <w:footnoteReference w:id="21"/>
      </w:r>
      <w:r>
        <w:rPr>
          <w:rFonts w:hint="default" w:ascii="Times New Roman" w:hAnsi="Times New Roman" w:cs="Times New Roman"/>
          <w:sz w:val="30"/>
          <w:szCs w:val="30"/>
          <w:lang w:val="en-US" w:eastAsia="zh-CN"/>
        </w:rPr>
        <w:t>。</w:t>
      </w:r>
      <w:r>
        <w:rPr>
          <w:rFonts w:hint="eastAsia" w:ascii="Times New Roman" w:hAnsi="Times New Roman" w:cs="Times New Roman"/>
          <w:b/>
          <w:bCs/>
          <w:sz w:val="30"/>
          <w:szCs w:val="30"/>
          <w:lang w:val="en-US" w:eastAsia="zh-CN"/>
        </w:rPr>
        <w:t>二是</w:t>
      </w:r>
      <w:r>
        <w:rPr>
          <w:rFonts w:hint="default" w:ascii="Times New Roman" w:hAnsi="Times New Roman" w:cs="Times New Roman"/>
          <w:b/>
          <w:bCs/>
          <w:sz w:val="30"/>
          <w:szCs w:val="30"/>
          <w:lang w:val="en-US" w:eastAsia="zh-CN"/>
        </w:rPr>
        <w:t>完善</w:t>
      </w:r>
      <w:r>
        <w:rPr>
          <w:rFonts w:hint="eastAsia" w:ascii="Times New Roman" w:hAnsi="Times New Roman" w:cs="Times New Roman"/>
          <w:b/>
          <w:bCs/>
          <w:sz w:val="30"/>
          <w:szCs w:val="30"/>
          <w:lang w:val="en-US" w:eastAsia="zh-CN"/>
        </w:rPr>
        <w:t>农食系统相关</w:t>
      </w:r>
      <w:r>
        <w:rPr>
          <w:rFonts w:hint="default" w:ascii="Times New Roman" w:hAnsi="Times New Roman" w:cs="Times New Roman"/>
          <w:b/>
          <w:bCs/>
          <w:sz w:val="30"/>
          <w:szCs w:val="30"/>
          <w:lang w:val="en-US" w:eastAsia="zh-CN"/>
        </w:rPr>
        <w:t>监管标准体系。</w:t>
      </w:r>
      <w:r>
        <w:rPr>
          <w:rFonts w:hint="default" w:ascii="Times New Roman" w:hAnsi="Times New Roman" w:cs="Times New Roman"/>
          <w:sz w:val="30"/>
          <w:szCs w:val="30"/>
          <w:lang w:val="en-US" w:eastAsia="zh-CN"/>
        </w:rPr>
        <w:t>通过将气候相关风险纳入金融监管，可以促进相关信息披露。统一的披露方式和分类标准有助于释放全球私人资金池。如美国</w:t>
      </w:r>
      <w:r>
        <w:rPr>
          <w:rFonts w:hint="eastAsia" w:ascii="Times New Roman" w:hAnsi="Times New Roman" w:cs="Times New Roman"/>
          <w:sz w:val="30"/>
          <w:szCs w:val="30"/>
          <w:lang w:val="en-US" w:eastAsia="zh-CN"/>
        </w:rPr>
        <w:t>“</w:t>
      </w:r>
      <w:r>
        <w:rPr>
          <w:rFonts w:hint="default" w:ascii="Times New Roman" w:hAnsi="Times New Roman" w:cs="Times New Roman"/>
          <w:sz w:val="30"/>
          <w:szCs w:val="30"/>
          <w:lang w:val="en-US" w:eastAsia="zh-CN"/>
        </w:rPr>
        <w:t>气候友好型农业认证</w:t>
      </w:r>
      <w:r>
        <w:rPr>
          <w:rFonts w:hint="eastAsia" w:ascii="Times New Roman" w:hAnsi="Times New Roman" w:cs="Times New Roman"/>
          <w:sz w:val="30"/>
          <w:szCs w:val="30"/>
          <w:lang w:val="en-US" w:eastAsia="zh-CN"/>
        </w:rPr>
        <w:t>”</w:t>
      </w:r>
      <w:r>
        <w:rPr>
          <w:rFonts w:hint="default" w:ascii="Times New Roman" w:hAnsi="Times New Roman" w:cs="Times New Roman"/>
          <w:sz w:val="30"/>
          <w:szCs w:val="30"/>
          <w:lang w:val="en-US" w:eastAsia="zh-CN"/>
        </w:rPr>
        <w:t>已覆盖1200余家企业，显著提升产品市场溢价能力。</w:t>
      </w:r>
      <w:r>
        <w:rPr>
          <w:rFonts w:hint="eastAsia" w:ascii="Times New Roman" w:hAnsi="Times New Roman" w:cs="Times New Roman"/>
          <w:b/>
          <w:bCs/>
          <w:sz w:val="30"/>
          <w:szCs w:val="30"/>
          <w:lang w:val="en-US" w:eastAsia="zh-CN"/>
        </w:rPr>
        <w:t>三是发展公私合作（PPP）模式。</w:t>
      </w:r>
      <w:r>
        <w:rPr>
          <w:rFonts w:hint="eastAsia" w:ascii="Times New Roman" w:hAnsi="Times New Roman" w:cs="Times New Roman"/>
          <w:sz w:val="30"/>
          <w:szCs w:val="30"/>
          <w:lang w:val="en-US" w:eastAsia="zh-CN"/>
        </w:rPr>
        <w:t>通过政府与私营部门在资金、技术、资源上的优势互补，进行基础设施与供应链协同建设，开展可持续发展与气候行动项目，推动产业可持续发展与政策落地。</w:t>
      </w:r>
    </w:p>
    <w:p w14:paraId="03A962BA">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602" w:firstLineChars="200"/>
        <w:jc w:val="both"/>
        <w:textAlignment w:val="auto"/>
        <w:rPr>
          <w:rFonts w:hint="default" w:ascii="Times New Roman" w:hAnsi="Times New Roman" w:cs="Times New Roman"/>
          <w:b/>
          <w:bCs/>
          <w:sz w:val="30"/>
          <w:szCs w:val="30"/>
          <w:lang w:val="en-US" w:eastAsia="zh-CN"/>
        </w:rPr>
      </w:pPr>
      <w:r>
        <w:rPr>
          <w:rFonts w:hint="default" w:ascii="Times New Roman" w:hAnsi="Times New Roman" w:cs="Times New Roman"/>
          <w:b/>
          <w:bCs/>
          <w:sz w:val="30"/>
          <w:szCs w:val="30"/>
          <w:lang w:val="en-US" w:eastAsia="zh-CN"/>
        </w:rPr>
        <w:t>（二）</w:t>
      </w:r>
      <w:r>
        <w:rPr>
          <w:rFonts w:hint="eastAsia" w:ascii="Times New Roman" w:hAnsi="Times New Roman" w:cs="Times New Roman"/>
          <w:b/>
          <w:bCs/>
          <w:sz w:val="30"/>
          <w:szCs w:val="30"/>
          <w:lang w:val="en-US" w:eastAsia="zh-CN"/>
        </w:rPr>
        <w:t>加大财金</w:t>
      </w:r>
      <w:r>
        <w:rPr>
          <w:rFonts w:hint="default" w:ascii="Times New Roman" w:hAnsi="Times New Roman" w:cs="Times New Roman"/>
          <w:b/>
          <w:bCs/>
          <w:sz w:val="30"/>
          <w:szCs w:val="30"/>
          <w:lang w:val="en-US" w:eastAsia="zh-CN"/>
        </w:rPr>
        <w:t>支持</w:t>
      </w:r>
      <w:r>
        <w:rPr>
          <w:rFonts w:hint="eastAsia" w:ascii="Times New Roman" w:hAnsi="Times New Roman" w:cs="Times New Roman"/>
          <w:b/>
          <w:bCs/>
          <w:sz w:val="30"/>
          <w:szCs w:val="30"/>
          <w:lang w:val="en-US" w:eastAsia="zh-CN"/>
        </w:rPr>
        <w:t>：发展气候转型金融工具并强化财政激励手段</w:t>
      </w:r>
    </w:p>
    <w:p w14:paraId="1C3D8D87">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602" w:firstLineChars="200"/>
        <w:jc w:val="both"/>
        <w:textAlignment w:val="auto"/>
        <w:rPr>
          <w:rFonts w:hint="default" w:ascii="Times New Roman" w:hAnsi="Times New Roman" w:cs="Times New Roman"/>
          <w:sz w:val="30"/>
          <w:szCs w:val="30"/>
          <w:highlight w:val="none"/>
          <w:lang w:val="en-US" w:eastAsia="zh-CN"/>
        </w:rPr>
      </w:pPr>
      <w:r>
        <w:rPr>
          <w:rFonts w:hint="eastAsia" w:ascii="Times New Roman" w:hAnsi="Times New Roman" w:cs="Times New Roman"/>
          <w:b/>
          <w:bCs/>
          <w:sz w:val="30"/>
          <w:szCs w:val="30"/>
          <w:highlight w:val="none"/>
          <w:lang w:val="en-US" w:eastAsia="zh-CN"/>
        </w:rPr>
        <w:t>一是</w:t>
      </w:r>
      <w:r>
        <w:rPr>
          <w:rFonts w:hint="default" w:ascii="Times New Roman" w:hAnsi="Times New Roman" w:cs="Times New Roman"/>
          <w:b/>
          <w:bCs/>
          <w:sz w:val="30"/>
          <w:szCs w:val="30"/>
          <w:highlight w:val="none"/>
          <w:lang w:val="en-US" w:eastAsia="zh-CN"/>
        </w:rPr>
        <w:t>发展支持农食系统气候转型的金融工具。</w:t>
      </w:r>
      <w:r>
        <w:rPr>
          <w:rFonts w:hint="default" w:ascii="Times New Roman" w:hAnsi="Times New Roman" w:cs="Times New Roman"/>
          <w:sz w:val="30"/>
          <w:szCs w:val="30"/>
          <w:highlight w:val="none"/>
          <w:lang w:val="en-US" w:eastAsia="zh-CN"/>
        </w:rPr>
        <w:t>与转型/可持续性挂钩的贷款和债券是国内外主要的转型金融工具。可持续债务融资工具中，募集资金指定用途（UoP）类和可持续绩效挂钩类是两大创新结构。此外，私募股权基金、风险投资基金（PE/VC）、保险及碳金融产品也在推动农业食品系统气候转型中扮演重要角色。混合金融机制和供应链金融机制与转型金融相结合，对促进农业食品领域的可持续发展与转型同样发挥着关键作用</w:t>
      </w:r>
      <w:r>
        <w:rPr>
          <w:rStyle w:val="11"/>
          <w:rFonts w:hint="default" w:ascii="Times New Roman" w:hAnsi="Times New Roman" w:cs="Times New Roman"/>
          <w:sz w:val="30"/>
          <w:szCs w:val="30"/>
          <w:highlight w:val="none"/>
          <w:lang w:val="en-US" w:eastAsia="zh-CN"/>
        </w:rPr>
        <w:footnoteReference w:id="22"/>
      </w:r>
      <w:r>
        <w:rPr>
          <w:rFonts w:hint="default" w:ascii="Times New Roman" w:hAnsi="Times New Roman" w:cs="Times New Roman"/>
          <w:sz w:val="30"/>
          <w:szCs w:val="30"/>
          <w:highlight w:val="none"/>
          <w:lang w:val="en-US" w:eastAsia="zh-CN"/>
        </w:rPr>
        <w:t>。</w:t>
      </w:r>
      <w:r>
        <w:rPr>
          <w:rFonts w:hint="eastAsia" w:ascii="Times New Roman" w:hAnsi="Times New Roman" w:cs="Times New Roman"/>
          <w:b/>
          <w:bCs/>
          <w:sz w:val="30"/>
          <w:szCs w:val="30"/>
          <w:highlight w:val="none"/>
          <w:lang w:val="en-US" w:eastAsia="zh-CN"/>
        </w:rPr>
        <w:t>二是</w:t>
      </w:r>
      <w:r>
        <w:rPr>
          <w:rFonts w:hint="default" w:ascii="Times New Roman" w:hAnsi="Times New Roman" w:eastAsia="仿宋" w:cs="Times New Roman"/>
          <w:b/>
          <w:bCs/>
          <w:sz w:val="30"/>
          <w:szCs w:val="30"/>
          <w:lang w:val="en-US" w:eastAsia="zh-CN"/>
        </w:rPr>
        <w:t>通过</w:t>
      </w:r>
      <w:r>
        <w:rPr>
          <w:rFonts w:hint="eastAsia" w:ascii="Times New Roman" w:hAnsi="Times New Roman" w:cs="Times New Roman"/>
          <w:b/>
          <w:bCs/>
          <w:sz w:val="30"/>
          <w:szCs w:val="30"/>
          <w:lang w:val="en-US" w:eastAsia="zh-CN"/>
        </w:rPr>
        <w:t>多种</w:t>
      </w:r>
      <w:r>
        <w:rPr>
          <w:rFonts w:hint="default" w:ascii="Times New Roman" w:hAnsi="Times New Roman" w:eastAsia="仿宋" w:cs="Times New Roman"/>
          <w:b/>
          <w:bCs/>
          <w:sz w:val="30"/>
          <w:szCs w:val="30"/>
          <w:lang w:val="en-US" w:eastAsia="zh-CN"/>
        </w:rPr>
        <w:t>财政激励</w:t>
      </w:r>
      <w:r>
        <w:rPr>
          <w:rFonts w:hint="eastAsia" w:ascii="Times New Roman" w:hAnsi="Times New Roman" w:cs="Times New Roman"/>
          <w:b/>
          <w:bCs/>
          <w:sz w:val="30"/>
          <w:szCs w:val="30"/>
          <w:lang w:val="en-US" w:eastAsia="zh-CN"/>
        </w:rPr>
        <w:t>手段</w:t>
      </w:r>
      <w:r>
        <w:rPr>
          <w:rFonts w:hint="default" w:ascii="Times New Roman" w:hAnsi="Times New Roman" w:eastAsia="仿宋" w:cs="Times New Roman"/>
          <w:b/>
          <w:bCs/>
          <w:sz w:val="30"/>
          <w:szCs w:val="30"/>
          <w:lang w:val="en-US" w:eastAsia="zh-CN"/>
        </w:rPr>
        <w:t>促进私营</w:t>
      </w:r>
      <w:r>
        <w:rPr>
          <w:rFonts w:hint="eastAsia" w:ascii="Times New Roman" w:hAnsi="Times New Roman" w:cs="Times New Roman"/>
          <w:b/>
          <w:bCs/>
          <w:sz w:val="30"/>
          <w:szCs w:val="30"/>
          <w:lang w:val="en-US" w:eastAsia="zh-CN"/>
        </w:rPr>
        <w:t>部门</w:t>
      </w:r>
      <w:r>
        <w:rPr>
          <w:rFonts w:hint="default" w:ascii="Times New Roman" w:hAnsi="Times New Roman" w:eastAsia="仿宋" w:cs="Times New Roman"/>
          <w:b/>
          <w:bCs/>
          <w:sz w:val="30"/>
          <w:szCs w:val="30"/>
          <w:lang w:val="en-US" w:eastAsia="zh-CN"/>
        </w:rPr>
        <w:t>投资。</w:t>
      </w:r>
      <w:r>
        <w:rPr>
          <w:rFonts w:hint="default" w:ascii="Times New Roman" w:hAnsi="Times New Roman" w:eastAsia="仿宋" w:cs="Times New Roman"/>
          <w:b w:val="0"/>
          <w:bCs w:val="0"/>
          <w:sz w:val="30"/>
          <w:szCs w:val="30"/>
          <w:lang w:val="en-US" w:eastAsia="zh-CN"/>
        </w:rPr>
        <w:t>政府担保、税收优惠和风险分担机制等可以补救市场失灵并激励私营部门进行投资，弥合公私目标之间的差距</w:t>
      </w:r>
      <w:r>
        <w:rPr>
          <w:rStyle w:val="11"/>
          <w:rFonts w:hint="default" w:ascii="Times New Roman" w:hAnsi="Times New Roman" w:cs="Times New Roman"/>
          <w:b w:val="0"/>
          <w:bCs w:val="0"/>
          <w:sz w:val="30"/>
          <w:szCs w:val="30"/>
          <w:lang w:val="en-US" w:eastAsia="zh-CN"/>
        </w:rPr>
        <w:footnoteReference w:id="23"/>
      </w:r>
      <w:r>
        <w:rPr>
          <w:rFonts w:hint="default" w:ascii="Times New Roman" w:hAnsi="Times New Roman" w:eastAsia="仿宋" w:cs="Times New Roman"/>
          <w:b w:val="0"/>
          <w:bCs w:val="0"/>
          <w:sz w:val="30"/>
          <w:szCs w:val="30"/>
          <w:lang w:val="en-US" w:eastAsia="zh-CN"/>
        </w:rPr>
        <w:t>。多个国家正开展价值链范围界定研究，旨在精准识别能有效促进私营部门参与、吸引投资并推动国家自主贡献（NDC）目标落地的高潜力价值链。如乌干达摒弃传统单一商品的孤立分析模式，综合分析牛、木薯、可可等农业系统，将高附加值农产品与主食生产结合，通过利益整合机制，使私营部门投资方向与国家气候行动优先事项一致</w:t>
      </w:r>
      <w:r>
        <w:rPr>
          <w:rStyle w:val="11"/>
          <w:rFonts w:hint="default" w:ascii="Times New Roman" w:hAnsi="Times New Roman" w:cs="Times New Roman"/>
          <w:b w:val="0"/>
          <w:bCs w:val="0"/>
          <w:sz w:val="30"/>
          <w:szCs w:val="30"/>
          <w:lang w:val="en-US" w:eastAsia="zh-CN"/>
        </w:rPr>
        <w:footnoteReference w:id="24"/>
      </w:r>
      <w:r>
        <w:rPr>
          <w:rFonts w:hint="default" w:ascii="Times New Roman" w:hAnsi="Times New Roman" w:eastAsia="仿宋" w:cs="Times New Roman"/>
          <w:b w:val="0"/>
          <w:bCs w:val="0"/>
          <w:sz w:val="30"/>
          <w:szCs w:val="30"/>
          <w:lang w:val="en-US" w:eastAsia="zh-CN"/>
        </w:rPr>
        <w:t>。</w:t>
      </w:r>
    </w:p>
    <w:p w14:paraId="73A643F8">
      <w:pPr>
        <w:keepNext w:val="0"/>
        <w:keepLines w:val="0"/>
        <w:pageBreakBefore w:val="0"/>
        <w:widowControl w:val="0"/>
        <w:numPr>
          <w:ilvl w:val="0"/>
          <w:numId w:val="2"/>
        </w:numPr>
        <w:kinsoku/>
        <w:wordWrap/>
        <w:overflowPunct/>
        <w:topLinePunct w:val="0"/>
        <w:autoSpaceDE/>
        <w:autoSpaceDN/>
        <w:bidi w:val="0"/>
        <w:adjustRightInd/>
        <w:snapToGrid/>
        <w:spacing w:line="240" w:lineRule="auto"/>
        <w:ind w:firstLine="602" w:firstLineChars="200"/>
        <w:jc w:val="both"/>
        <w:textAlignment w:val="auto"/>
        <w:rPr>
          <w:rFonts w:hint="eastAsia" w:ascii="Times New Roman" w:hAnsi="Times New Roman" w:cs="Times New Roman"/>
          <w:b/>
          <w:bCs/>
          <w:sz w:val="30"/>
          <w:szCs w:val="30"/>
          <w:lang w:val="en-US" w:eastAsia="zh-CN"/>
        </w:rPr>
      </w:pPr>
      <w:r>
        <w:rPr>
          <w:rFonts w:hint="eastAsia" w:ascii="Times New Roman" w:hAnsi="Times New Roman" w:cs="Times New Roman"/>
          <w:b/>
          <w:bCs/>
          <w:sz w:val="30"/>
          <w:szCs w:val="30"/>
          <w:lang w:val="en-US" w:eastAsia="zh-CN"/>
        </w:rPr>
        <w:t>开展</w:t>
      </w:r>
      <w:r>
        <w:rPr>
          <w:rFonts w:hint="default" w:ascii="Times New Roman" w:hAnsi="Times New Roman" w:cs="Times New Roman"/>
          <w:b/>
          <w:bCs/>
          <w:sz w:val="30"/>
          <w:szCs w:val="30"/>
          <w:lang w:val="en-US" w:eastAsia="zh-CN"/>
        </w:rPr>
        <w:t>技术援助</w:t>
      </w:r>
      <w:r>
        <w:rPr>
          <w:rFonts w:hint="eastAsia" w:ascii="Times New Roman" w:hAnsi="Times New Roman" w:cs="Times New Roman"/>
          <w:b/>
          <w:bCs/>
          <w:sz w:val="30"/>
          <w:szCs w:val="30"/>
          <w:lang w:val="en-US" w:eastAsia="zh-CN"/>
        </w:rPr>
        <w:t>：进行农食系统数据共享并开展相关技术与能力培训</w:t>
      </w:r>
    </w:p>
    <w:p w14:paraId="6BE52A66">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602" w:firstLineChars="200"/>
        <w:jc w:val="both"/>
        <w:textAlignment w:val="auto"/>
        <w:rPr>
          <w:rFonts w:hint="default" w:ascii="Times New Roman" w:hAnsi="Times New Roman" w:cs="Times New Roman"/>
          <w:sz w:val="30"/>
          <w:szCs w:val="30"/>
          <w:lang w:val="en-US" w:eastAsia="zh-CN"/>
        </w:rPr>
      </w:pPr>
      <w:r>
        <w:rPr>
          <w:rFonts w:hint="eastAsia" w:ascii="Times New Roman" w:hAnsi="Times New Roman" w:cs="Times New Roman"/>
          <w:b/>
          <w:bCs/>
          <w:sz w:val="30"/>
          <w:szCs w:val="30"/>
          <w:lang w:val="en-US" w:eastAsia="zh-CN"/>
        </w:rPr>
        <w:t>一是</w:t>
      </w:r>
      <w:r>
        <w:rPr>
          <w:rFonts w:hint="default" w:ascii="Times New Roman" w:hAnsi="Times New Roman" w:cs="Times New Roman"/>
          <w:b/>
          <w:bCs/>
          <w:sz w:val="30"/>
          <w:szCs w:val="30"/>
          <w:lang w:val="en-US" w:eastAsia="zh-CN"/>
        </w:rPr>
        <w:t>整合气候多源信息，进行数据共享。</w:t>
      </w:r>
      <w:r>
        <w:rPr>
          <w:rFonts w:hint="default" w:ascii="Times New Roman" w:hAnsi="Times New Roman" w:cs="Times New Roman"/>
          <w:sz w:val="30"/>
          <w:szCs w:val="30"/>
          <w:lang w:val="en-US" w:eastAsia="zh-CN"/>
        </w:rPr>
        <w:t>如非洲气候服务中心开发的</w:t>
      </w:r>
      <w:r>
        <w:rPr>
          <w:rFonts w:hint="eastAsia" w:ascii="Times New Roman" w:hAnsi="Times New Roman" w:cs="Times New Roman"/>
          <w:sz w:val="30"/>
          <w:szCs w:val="30"/>
          <w:lang w:val="en-US" w:eastAsia="zh-CN"/>
        </w:rPr>
        <w:t>“</w:t>
      </w:r>
      <w:r>
        <w:rPr>
          <w:rFonts w:hint="default" w:ascii="Times New Roman" w:hAnsi="Times New Roman" w:cs="Times New Roman"/>
          <w:sz w:val="30"/>
          <w:szCs w:val="30"/>
          <w:lang w:val="en-US" w:eastAsia="zh-CN"/>
        </w:rPr>
        <w:t>AgroClimate</w:t>
      </w:r>
      <w:r>
        <w:rPr>
          <w:rFonts w:hint="eastAsia" w:ascii="Times New Roman" w:hAnsi="Times New Roman" w:cs="Times New Roman"/>
          <w:sz w:val="30"/>
          <w:szCs w:val="30"/>
          <w:lang w:val="en-US" w:eastAsia="zh-CN"/>
        </w:rPr>
        <w:t>”</w:t>
      </w:r>
      <w:r>
        <w:rPr>
          <w:rFonts w:hint="default" w:ascii="Times New Roman" w:hAnsi="Times New Roman" w:cs="Times New Roman"/>
          <w:sz w:val="30"/>
          <w:szCs w:val="30"/>
          <w:lang w:val="en-US" w:eastAsia="zh-CN"/>
        </w:rPr>
        <w:t>平台，实时提供灾害预警与种植建议，降低试点区域农户减产损失。东南亚农业金融协会（AAFA）推动成员国银行共享</w:t>
      </w:r>
      <w:r>
        <w:rPr>
          <w:rFonts w:hint="eastAsia" w:ascii="Times New Roman" w:hAnsi="Times New Roman" w:cs="Times New Roman"/>
          <w:sz w:val="30"/>
          <w:szCs w:val="30"/>
          <w:lang w:val="en-US" w:eastAsia="zh-CN"/>
        </w:rPr>
        <w:t>农业中小企业</w:t>
      </w:r>
      <w:r>
        <w:rPr>
          <w:rFonts w:hint="default" w:ascii="Times New Roman" w:hAnsi="Times New Roman" w:cs="Times New Roman"/>
          <w:sz w:val="30"/>
          <w:szCs w:val="30"/>
          <w:lang w:val="en-US" w:eastAsia="zh-CN"/>
        </w:rPr>
        <w:t>信用数据，将尽职调查成本降低35%</w:t>
      </w:r>
      <w:r>
        <w:rPr>
          <w:rStyle w:val="11"/>
          <w:rFonts w:hint="eastAsia" w:ascii="Times New Roman" w:hAnsi="Times New Roman" w:cs="Times New Roman"/>
          <w:sz w:val="30"/>
          <w:szCs w:val="30"/>
          <w:lang w:val="en-US" w:eastAsia="zh-CN"/>
        </w:rPr>
        <w:footnoteReference w:id="25"/>
      </w:r>
      <w:r>
        <w:rPr>
          <w:rFonts w:hint="eastAsia" w:ascii="Times New Roman" w:hAnsi="Times New Roman" w:cs="Times New Roman"/>
          <w:sz w:val="30"/>
          <w:szCs w:val="30"/>
          <w:lang w:val="en-US" w:eastAsia="zh-CN"/>
        </w:rPr>
        <w:t>。</w:t>
      </w:r>
      <w:r>
        <w:rPr>
          <w:rFonts w:hint="eastAsia" w:ascii="Times New Roman" w:hAnsi="Times New Roman" w:cs="Times New Roman"/>
          <w:b/>
          <w:bCs/>
          <w:sz w:val="30"/>
          <w:szCs w:val="30"/>
          <w:lang w:val="en-US" w:eastAsia="zh-CN"/>
        </w:rPr>
        <w:t>二是组织</w:t>
      </w:r>
      <w:r>
        <w:rPr>
          <w:rFonts w:hint="default" w:ascii="Times New Roman" w:hAnsi="Times New Roman" w:cs="Times New Roman"/>
          <w:b/>
          <w:bCs/>
          <w:sz w:val="30"/>
          <w:szCs w:val="30"/>
          <w:lang w:val="en-US" w:eastAsia="zh-CN"/>
        </w:rPr>
        <w:t>开展技术分享与能力培训。</w:t>
      </w:r>
      <w:r>
        <w:rPr>
          <w:rFonts w:hint="default" w:ascii="Times New Roman" w:hAnsi="Times New Roman" w:cs="Times New Roman"/>
          <w:sz w:val="30"/>
          <w:szCs w:val="30"/>
          <w:lang w:val="en-US" w:eastAsia="zh-CN"/>
        </w:rPr>
        <w:t>德国国际合作机构（GIZ）在东南亚推广</w:t>
      </w:r>
      <w:r>
        <w:rPr>
          <w:rFonts w:hint="eastAsia" w:ascii="Times New Roman" w:hAnsi="Times New Roman" w:cs="Times New Roman"/>
          <w:sz w:val="30"/>
          <w:szCs w:val="30"/>
          <w:lang w:val="en-US" w:eastAsia="zh-CN"/>
        </w:rPr>
        <w:t>“</w:t>
      </w:r>
      <w:r>
        <w:rPr>
          <w:rFonts w:hint="default" w:ascii="Times New Roman" w:hAnsi="Times New Roman" w:cs="Times New Roman"/>
          <w:sz w:val="30"/>
          <w:szCs w:val="30"/>
          <w:lang w:val="en-US" w:eastAsia="zh-CN"/>
        </w:rPr>
        <w:t>气候智能农业技术包</w:t>
      </w:r>
      <w:r>
        <w:rPr>
          <w:rFonts w:hint="eastAsia" w:ascii="Times New Roman" w:hAnsi="Times New Roman" w:cs="Times New Roman"/>
          <w:sz w:val="30"/>
          <w:szCs w:val="30"/>
          <w:lang w:val="en-US" w:eastAsia="zh-CN"/>
        </w:rPr>
        <w:t>”</w:t>
      </w:r>
      <w:r>
        <w:rPr>
          <w:rFonts w:hint="default" w:ascii="Times New Roman" w:hAnsi="Times New Roman" w:cs="Times New Roman"/>
          <w:sz w:val="30"/>
          <w:szCs w:val="30"/>
          <w:lang w:val="en-US" w:eastAsia="zh-CN"/>
        </w:rPr>
        <w:t>，配套提供无人机监测、智能灌溉等实操培训；同时，鼓励产学研合作，美国加州大学与农业企业共建实验室，加速生物固碳、耐旱作物等技术商业化进程。</w:t>
      </w:r>
    </w:p>
    <w:p w14:paraId="24272B35">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600" w:firstLineChars="200"/>
        <w:jc w:val="right"/>
        <w:textAlignment w:val="auto"/>
        <w:rPr>
          <w:rFonts w:hint="default" w:ascii="Times New Roman" w:hAnsi="Times New Roman" w:cs="Times New Roman"/>
          <w:sz w:val="30"/>
          <w:szCs w:val="30"/>
          <w:lang w:val="en-US" w:eastAsia="zh-CN"/>
        </w:rPr>
      </w:pPr>
      <w:bookmarkStart w:id="0" w:name="_GoBack"/>
      <w:bookmarkEnd w:id="0"/>
      <w:r>
        <w:rPr>
          <w:rFonts w:hint="eastAsia" w:ascii="Times New Roman" w:hAnsi="Times New Roman" w:cs="Times New Roman"/>
          <w:sz w:val="30"/>
          <w:szCs w:val="30"/>
          <w:lang w:val="en-US" w:eastAsia="zh-CN"/>
        </w:rPr>
        <w:t>常德市分行 孙诗媛</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Cambria">
    <w:panose1 w:val="02040503050406030204"/>
    <w:charset w:val="00"/>
    <w:family w:val="auto"/>
    <w:pitch w:val="default"/>
    <w:sig w:usb0="E00006FF" w:usb1="420024FF" w:usb2="02000000" w:usb3="00000000" w:csb0="2000019F" w:csb1="00000000"/>
  </w:font>
  <w:font w:name="Arial Unicode MS">
    <w:altName w:val="Arial"/>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楷体_GB2312">
    <w:panose1 w:val="02010609030101010101"/>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52">
    <w:p>
      <w:pPr>
        <w:spacing w:line="360" w:lineRule="auto"/>
      </w:pPr>
      <w:r>
        <w:separator/>
      </w:r>
    </w:p>
  </w:footnote>
  <w:footnote w:type="continuationSeparator" w:id="53">
    <w:p>
      <w:pPr>
        <w:spacing w:line="360" w:lineRule="auto"/>
      </w:pPr>
      <w:r>
        <w:continuationSeparator/>
      </w:r>
    </w:p>
  </w:footnote>
  <w:footnote w:id="0">
    <w:p w14:paraId="1B062ACA">
      <w:pPr>
        <w:pStyle w:val="6"/>
        <w:snapToGrid w:val="0"/>
        <w:rPr>
          <w:rFonts w:hint="default" w:ascii="Times New Roman" w:hAnsi="Times New Roman" w:eastAsia="宋体" w:cs="Times New Roman"/>
          <w:lang w:val="en-US" w:eastAsia="zh-CN"/>
        </w:rPr>
      </w:pPr>
      <w:r>
        <w:rPr>
          <w:rStyle w:val="11"/>
          <w:rFonts w:hint="default" w:ascii="Times New Roman" w:hAnsi="Times New Roman" w:eastAsia="仿宋" w:cs="Times New Roman"/>
          <w:sz w:val="18"/>
          <w:szCs w:val="24"/>
        </w:rPr>
        <w:footnoteRef/>
      </w:r>
      <w:r>
        <w:rPr>
          <w:rFonts w:hint="default" w:ascii="Times New Roman" w:hAnsi="Times New Roman" w:cs="Times New Roman"/>
        </w:rPr>
        <w:t xml:space="preserve"> </w:t>
      </w:r>
      <w:r>
        <w:rPr>
          <w:rFonts w:hint="default" w:ascii="Times New Roman" w:hAnsi="Times New Roman" w:cs="Times New Roman"/>
          <w:lang w:val="en-US" w:eastAsia="zh-CN"/>
        </w:rPr>
        <w:t>FAO,</w:t>
      </w:r>
      <w:r>
        <w:rPr>
          <w:rFonts w:hint="default" w:ascii="Times New Roman" w:hAnsi="Times New Roman" w:cs="Times New Roman"/>
        </w:rPr>
        <w:t>The State of Food and Agriculture: Agriculture Food Systems</w:t>
      </w:r>
      <w:r>
        <w:rPr>
          <w:rFonts w:hint="default" w:ascii="Times New Roman" w:hAnsi="Times New Roman" w:cs="Times New Roman"/>
          <w:lang w:val="en-US" w:eastAsia="zh-CN"/>
        </w:rPr>
        <w:t xml:space="preserve"> </w:t>
      </w:r>
      <w:r>
        <w:rPr>
          <w:rFonts w:hint="default" w:ascii="Times New Roman" w:hAnsi="Times New Roman" w:cs="Times New Roman"/>
        </w:rPr>
        <w:t>Transformation: from Strategy to Action</w:t>
      </w:r>
      <w:r>
        <w:rPr>
          <w:rFonts w:hint="default" w:ascii="Times New Roman" w:hAnsi="Times New Roman" w:cs="Times New Roman"/>
          <w:lang w:val="en-US" w:eastAsia="zh-CN"/>
        </w:rPr>
        <w:t>,2021</w:t>
      </w:r>
    </w:p>
  </w:footnote>
  <w:footnote w:id="1">
    <w:p w14:paraId="1AEBC12C">
      <w:pPr>
        <w:pStyle w:val="6"/>
        <w:snapToGrid w:val="0"/>
        <w:rPr>
          <w:rFonts w:hint="default" w:ascii="Times New Roman" w:hAnsi="Times New Roman" w:eastAsia="宋体" w:cs="Times New Roman"/>
          <w:lang w:val="en-US" w:eastAsia="zh-CN"/>
        </w:rPr>
      </w:pPr>
      <w:r>
        <w:rPr>
          <w:rStyle w:val="11"/>
          <w:rFonts w:hint="default" w:ascii="Times New Roman" w:hAnsi="Times New Roman" w:eastAsia="仿宋" w:cs="Times New Roman"/>
          <w:sz w:val="18"/>
          <w:szCs w:val="24"/>
        </w:rPr>
        <w:footnoteRef/>
      </w:r>
      <w:r>
        <w:rPr>
          <w:rFonts w:hint="default" w:ascii="Times New Roman" w:hAnsi="Times New Roman" w:cs="Times New Roman"/>
        </w:rPr>
        <w:t xml:space="preserve"> </w:t>
      </w:r>
      <w:r>
        <w:rPr>
          <w:rFonts w:hint="default" w:ascii="Times New Roman" w:hAnsi="Times New Roman" w:cs="Times New Roman"/>
          <w:lang w:val="en-US" w:eastAsia="zh-CN"/>
        </w:rPr>
        <w:t>FAO,FAO’s Strategy for Private Sector Engagement 2021-2025,2020.</w:t>
      </w:r>
    </w:p>
  </w:footnote>
  <w:footnote w:id="2">
    <w:p w14:paraId="2B4071D6">
      <w:pPr>
        <w:pStyle w:val="6"/>
        <w:rPr>
          <w:rFonts w:hint="default" w:ascii="Times New Roman" w:hAnsi="Times New Roman" w:eastAsia="宋体" w:cs="Times New Roman"/>
          <w:sz w:val="18"/>
          <w:szCs w:val="24"/>
          <w:lang w:val="en-US" w:eastAsia="zh-CN"/>
        </w:rPr>
      </w:pPr>
      <w:r>
        <w:rPr>
          <w:rStyle w:val="11"/>
          <w:rFonts w:hint="default" w:ascii="Times New Roman" w:hAnsi="Times New Roman" w:eastAsia="仿宋" w:cs="Times New Roman"/>
          <w:sz w:val="18"/>
          <w:szCs w:val="24"/>
        </w:rPr>
        <w:footnoteRef/>
      </w:r>
      <w:r>
        <w:rPr>
          <w:rFonts w:hint="default" w:ascii="Times New Roman" w:hAnsi="Times New Roman" w:cs="Times New Roman"/>
          <w:sz w:val="18"/>
          <w:szCs w:val="24"/>
        </w:rPr>
        <w:t xml:space="preserve"> GLIC</w:t>
      </w:r>
      <w:r>
        <w:rPr>
          <w:rFonts w:hint="default" w:ascii="Times New Roman" w:hAnsi="Times New Roman" w:cs="Times New Roman"/>
          <w:sz w:val="18"/>
          <w:szCs w:val="24"/>
          <w:lang w:val="en-US" w:eastAsia="zh-CN"/>
        </w:rPr>
        <w:t>,</w:t>
      </w:r>
      <w:r>
        <w:rPr>
          <w:rFonts w:hint="default" w:ascii="Times New Roman" w:hAnsi="Times New Roman" w:cs="Times New Roman"/>
          <w:sz w:val="18"/>
          <w:szCs w:val="24"/>
        </w:rPr>
        <w:t xml:space="preserve"> Landscape of Climate Finance for Agrifood Systems 2025</w:t>
      </w:r>
      <w:r>
        <w:rPr>
          <w:rFonts w:hint="default" w:ascii="Times New Roman" w:hAnsi="Times New Roman" w:cs="Times New Roman"/>
          <w:sz w:val="18"/>
          <w:szCs w:val="24"/>
          <w:lang w:val="en-US" w:eastAsia="zh-CN"/>
        </w:rPr>
        <w:t>,</w:t>
      </w:r>
    </w:p>
  </w:footnote>
  <w:footnote w:id="3">
    <w:p w14:paraId="6A303A9C">
      <w:pPr>
        <w:pStyle w:val="6"/>
        <w:snapToGrid w:val="0"/>
        <w:rPr>
          <w:rFonts w:hint="default" w:ascii="Times New Roman" w:hAnsi="Times New Roman" w:eastAsia="宋体" w:cs="Times New Roman"/>
          <w:lang w:val="en-US" w:eastAsia="zh-CN"/>
        </w:rPr>
      </w:pPr>
      <w:r>
        <w:rPr>
          <w:rStyle w:val="11"/>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en-US" w:eastAsia="zh-CN"/>
        </w:rPr>
        <w:t>CPI,</w:t>
      </w:r>
      <w:r>
        <w:rPr>
          <w:rFonts w:hint="default" w:ascii="Times New Roman" w:hAnsi="Times New Roman" w:cs="Times New Roman"/>
        </w:rPr>
        <w:t>The Triple Gap in Finance for Agrifood Systems</w:t>
      </w:r>
      <w:r>
        <w:rPr>
          <w:rFonts w:hint="default" w:ascii="Times New Roman" w:hAnsi="Times New Roman" w:cs="Times New Roman"/>
          <w:lang w:val="en-US" w:eastAsia="zh-CN"/>
        </w:rPr>
        <w:t>,2024.</w:t>
      </w:r>
    </w:p>
  </w:footnote>
  <w:footnote w:id="4">
    <w:p w14:paraId="6829BEB3">
      <w:pPr>
        <w:pStyle w:val="6"/>
        <w:snapToGrid w:val="0"/>
        <w:rPr>
          <w:rFonts w:hint="default" w:ascii="Times New Roman" w:hAnsi="Times New Roman" w:eastAsia="宋体" w:cs="Times New Roman"/>
          <w:lang w:val="en-US" w:eastAsia="zh-CN"/>
        </w:rPr>
      </w:pPr>
      <w:r>
        <w:rPr>
          <w:rStyle w:val="11"/>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en-US" w:eastAsia="zh-CN"/>
        </w:rPr>
        <w:t>FAO,</w:t>
      </w:r>
      <w:r>
        <w:rPr>
          <w:rFonts w:hint="default" w:ascii="Times New Roman" w:hAnsi="Times New Roman" w:cs="Times New Roman"/>
        </w:rPr>
        <w:t>2024年世界粮食安全和营养状况</w:t>
      </w:r>
      <w:r>
        <w:rPr>
          <w:rFonts w:hint="default" w:ascii="Times New Roman" w:hAnsi="Times New Roman" w:cs="Times New Roman"/>
          <w:lang w:val="en-US" w:eastAsia="zh-CN"/>
        </w:rPr>
        <w:t>,2024</w:t>
      </w:r>
    </w:p>
  </w:footnote>
  <w:footnote w:id="5">
    <w:p w14:paraId="69BD5CFD">
      <w:pPr>
        <w:pStyle w:val="6"/>
        <w:snapToGrid w:val="0"/>
        <w:rPr>
          <w:rFonts w:hint="default" w:ascii="Times New Roman" w:hAnsi="Times New Roman" w:eastAsia="宋体" w:cs="Times New Roman"/>
          <w:lang w:val="en-US" w:eastAsia="zh-CN"/>
        </w:rPr>
      </w:pPr>
      <w:r>
        <w:rPr>
          <w:rStyle w:val="11"/>
          <w:rFonts w:hint="default" w:ascii="Times New Roman" w:hAnsi="Times New Roman" w:cs="Times New Roman"/>
        </w:rPr>
        <w:footnoteRef/>
      </w:r>
      <w:r>
        <w:rPr>
          <w:rFonts w:hint="default" w:ascii="Times New Roman" w:hAnsi="Times New Roman" w:cs="Times New Roman"/>
        </w:rPr>
        <w:t xml:space="preserve"> Crippa, M., Solazzo, E., Guizzardi, D.et al</w:t>
      </w:r>
      <w:r>
        <w:rPr>
          <w:rFonts w:hint="default" w:ascii="Times New Roman" w:hAnsi="Times New Roman" w:cs="Times New Roman"/>
          <w:lang w:val="en-US" w:eastAsia="zh-CN"/>
        </w:rPr>
        <w:t>,</w:t>
      </w:r>
      <w:r>
        <w:rPr>
          <w:rFonts w:hint="default" w:ascii="Times New Roman" w:hAnsi="Times New Roman" w:cs="Times New Roman"/>
        </w:rPr>
        <w:t>Food systems are responsible for a third of global anthropogenic GHG emissions</w:t>
      </w:r>
      <w:r>
        <w:rPr>
          <w:rFonts w:hint="default" w:ascii="Times New Roman" w:hAnsi="Times New Roman" w:cs="Times New Roman"/>
          <w:lang w:val="en-US" w:eastAsia="zh-CN"/>
        </w:rPr>
        <w:t>,2021</w:t>
      </w:r>
    </w:p>
  </w:footnote>
  <w:footnote w:id="6">
    <w:p w14:paraId="00197735">
      <w:pPr>
        <w:pStyle w:val="6"/>
        <w:snapToGrid w:val="0"/>
        <w:rPr>
          <w:rFonts w:hint="default" w:ascii="Times New Roman" w:hAnsi="Times New Roman" w:cs="Times New Roman"/>
        </w:rPr>
      </w:pPr>
      <w:r>
        <w:rPr>
          <w:rStyle w:val="11"/>
          <w:rFonts w:hint="default" w:ascii="Times New Roman" w:hAnsi="Times New Roman" w:cs="Times New Roman"/>
        </w:rPr>
        <w:footnoteRef/>
      </w:r>
      <w:r>
        <w:rPr>
          <w:rFonts w:hint="default" w:ascii="Times New Roman" w:hAnsi="Times New Roman" w:cs="Times New Roman"/>
        </w:rPr>
        <w:t xml:space="preserve"> Ray, D., Gerber, J., MacDonald, G. et a</w:t>
      </w:r>
      <w:r>
        <w:rPr>
          <w:rFonts w:hint="default" w:ascii="Times New Roman" w:hAnsi="Times New Roman" w:cs="Times New Roman"/>
          <w:lang w:val="en-US" w:eastAsia="zh-CN"/>
        </w:rPr>
        <w:t>l:</w:t>
      </w:r>
      <w:r>
        <w:rPr>
          <w:rFonts w:hint="default" w:ascii="Times New Roman" w:hAnsi="Times New Roman" w:cs="Times New Roman"/>
        </w:rPr>
        <w:t xml:space="preserve"> Climate variation explains a third of global crop yield variability</w:t>
      </w:r>
      <w:r>
        <w:rPr>
          <w:rFonts w:hint="default" w:ascii="Times New Roman" w:hAnsi="Times New Roman" w:cs="Times New Roman"/>
          <w:lang w:val="en-US" w:eastAsia="zh-CN"/>
        </w:rPr>
        <w:t>,2015.</w:t>
      </w:r>
    </w:p>
  </w:footnote>
  <w:footnote w:id="7">
    <w:p w14:paraId="723F9CB0">
      <w:pPr>
        <w:pStyle w:val="6"/>
        <w:snapToGrid w:val="0"/>
        <w:rPr>
          <w:rFonts w:hint="default" w:ascii="Times New Roman" w:hAnsi="Times New Roman" w:eastAsia="宋体" w:cs="Times New Roman"/>
          <w:lang w:val="en-US" w:eastAsia="zh-CN"/>
        </w:rPr>
      </w:pPr>
      <w:r>
        <w:rPr>
          <w:rStyle w:val="11"/>
          <w:rFonts w:hint="default" w:ascii="Times New Roman" w:hAnsi="Times New Roman" w:cs="Times New Roman"/>
        </w:rPr>
        <w:footnoteRef/>
      </w:r>
      <w:r>
        <w:rPr>
          <w:rFonts w:hint="default" w:ascii="Times New Roman" w:hAnsi="Times New Roman" w:cs="Times New Roman"/>
        </w:rPr>
        <w:t xml:space="preserve"> Global Commission on Adaptation</w:t>
      </w:r>
      <w:r>
        <w:rPr>
          <w:rFonts w:hint="default" w:ascii="Times New Roman" w:hAnsi="Times New Roman" w:cs="Times New Roman"/>
          <w:lang w:val="en-US" w:eastAsia="zh-CN"/>
        </w:rPr>
        <w:t>,</w:t>
      </w:r>
      <w:r>
        <w:rPr>
          <w:rFonts w:hint="default" w:ascii="Times New Roman" w:hAnsi="Times New Roman" w:cs="Times New Roman"/>
        </w:rPr>
        <w:t>Adapt now: a global call for leadership on climate resilience</w:t>
      </w:r>
      <w:r>
        <w:rPr>
          <w:rFonts w:hint="default" w:ascii="Times New Roman" w:hAnsi="Times New Roman" w:cs="Times New Roman"/>
          <w:lang w:val="en-US" w:eastAsia="zh-CN"/>
        </w:rPr>
        <w:t>,2019.</w:t>
      </w:r>
    </w:p>
  </w:footnote>
  <w:footnote w:id="8">
    <w:p w14:paraId="1EF7475E">
      <w:pPr>
        <w:pStyle w:val="6"/>
        <w:snapToGrid w:val="0"/>
        <w:rPr>
          <w:rFonts w:hint="default" w:ascii="Times New Roman" w:hAnsi="Times New Roman" w:cs="Times New Roman"/>
          <w:lang w:val="en-US"/>
        </w:rPr>
      </w:pPr>
      <w:r>
        <w:rPr>
          <w:rStyle w:val="11"/>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en-US" w:eastAsia="zh-CN"/>
        </w:rPr>
        <w:t>全称为“通过国家自主贡献和国家适应计划扩大土地利用和农业气候雄心”（The Scaling up Climate Ambition on Land Use and Agriculture through Nationally Determined Contributions and National Adaptation Plans）。</w:t>
      </w:r>
    </w:p>
  </w:footnote>
  <w:footnote w:id="9">
    <w:p w14:paraId="79E37369">
      <w:pPr>
        <w:pStyle w:val="6"/>
        <w:snapToGrid w:val="0"/>
        <w:rPr>
          <w:rFonts w:hint="default" w:ascii="Times New Roman" w:hAnsi="Times New Roman" w:eastAsia="宋体" w:cs="Times New Roman"/>
          <w:lang w:val="en-US" w:eastAsia="zh-CN"/>
        </w:rPr>
      </w:pPr>
      <w:r>
        <w:rPr>
          <w:rStyle w:val="11"/>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en-US" w:eastAsia="zh-CN"/>
        </w:rPr>
        <w:t>FAO,Private sector mapping, outreach,and engagement in climate-responsive agrifood systems,2023</w:t>
      </w:r>
    </w:p>
  </w:footnote>
  <w:footnote w:id="10">
    <w:p w14:paraId="55B0BC95">
      <w:pPr>
        <w:pStyle w:val="6"/>
        <w:snapToGrid w:val="0"/>
        <w:rPr>
          <w:rFonts w:hint="default" w:ascii="Times New Roman" w:hAnsi="Times New Roman" w:cs="Times New Roman"/>
          <w:lang w:val="en-US"/>
        </w:rPr>
      </w:pPr>
      <w:r>
        <w:rPr>
          <w:rStyle w:val="11"/>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en-US" w:eastAsia="zh-CN"/>
        </w:rPr>
        <w:t>The Republic of Uganda.National Adaptation Plan for the Agricultural Sector,2018</w:t>
      </w:r>
    </w:p>
  </w:footnote>
  <w:footnote w:id="11">
    <w:p w14:paraId="0B21C2D3">
      <w:pPr>
        <w:pStyle w:val="6"/>
        <w:snapToGrid w:val="0"/>
        <w:rPr>
          <w:rFonts w:hint="default" w:ascii="Times New Roman" w:hAnsi="Times New Roman" w:eastAsia="宋体" w:cs="Times New Roman"/>
          <w:lang w:val="en-US" w:eastAsia="zh-CN"/>
        </w:rPr>
      </w:pPr>
      <w:r>
        <w:rPr>
          <w:rStyle w:val="11"/>
          <w:rFonts w:hint="default" w:ascii="Times New Roman" w:hAnsi="Times New Roman" w:cs="Times New Roman"/>
        </w:rPr>
        <w:footnoteRef/>
      </w:r>
      <w:r>
        <w:rPr>
          <w:rFonts w:hint="default" w:ascii="Times New Roman" w:hAnsi="Times New Roman" w:cs="Times New Roman"/>
        </w:rPr>
        <w:t xml:space="preserve"> CPI</w:t>
      </w:r>
      <w:r>
        <w:rPr>
          <w:rFonts w:hint="default" w:ascii="Times New Roman" w:hAnsi="Times New Roman" w:cs="Times New Roman"/>
          <w:lang w:val="en-US" w:eastAsia="zh-CN"/>
        </w:rPr>
        <w:t>,</w:t>
      </w:r>
      <w:r>
        <w:rPr>
          <w:rFonts w:hint="default" w:ascii="Times New Roman" w:hAnsi="Times New Roman" w:cs="Times New Roman"/>
        </w:rPr>
        <w:t>The Triple Gap in Finance for Agrifood Systems</w:t>
      </w:r>
      <w:r>
        <w:rPr>
          <w:rFonts w:hint="default" w:ascii="Times New Roman" w:hAnsi="Times New Roman" w:cs="Times New Roman"/>
          <w:lang w:val="en-US" w:eastAsia="zh-CN"/>
        </w:rPr>
        <w:t>,2024</w:t>
      </w:r>
    </w:p>
  </w:footnote>
  <w:footnote w:id="12">
    <w:p w14:paraId="464D7395">
      <w:pPr>
        <w:pStyle w:val="6"/>
        <w:snapToGrid w:val="0"/>
        <w:rPr>
          <w:rFonts w:hint="default" w:ascii="Times New Roman" w:hAnsi="Times New Roman" w:eastAsia="宋体" w:cs="Times New Roman"/>
          <w:lang w:val="en-US" w:eastAsia="zh-CN"/>
        </w:rPr>
      </w:pPr>
      <w:r>
        <w:rPr>
          <w:rStyle w:val="11"/>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en-US" w:eastAsia="zh-CN"/>
        </w:rPr>
        <w:t>NDC Partnership:NDC Investment Planning Guide and Checklist.</w:t>
      </w:r>
    </w:p>
  </w:footnote>
  <w:footnote w:id="13">
    <w:p w14:paraId="2FF76F61">
      <w:pPr>
        <w:pStyle w:val="6"/>
        <w:snapToGrid w:val="0"/>
        <w:rPr>
          <w:rFonts w:hint="default" w:ascii="Times New Roman" w:hAnsi="Times New Roman" w:eastAsia="宋体" w:cs="Times New Roman"/>
          <w:lang w:val="en-US" w:eastAsia="zh-CN"/>
        </w:rPr>
      </w:pPr>
      <w:r>
        <w:rPr>
          <w:rStyle w:val="11"/>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en-US" w:eastAsia="zh-CN"/>
        </w:rPr>
        <w:t>Platform for Agricultural Risk Management,</w:t>
      </w:r>
      <w:r>
        <w:rPr>
          <w:rFonts w:hint="default" w:ascii="Times New Roman" w:hAnsi="Times New Roman" w:cs="Times New Roman"/>
        </w:rPr>
        <w:t>Etat des lieux de l’assurance agricole et</w:t>
      </w:r>
      <w:r>
        <w:rPr>
          <w:rFonts w:hint="default" w:ascii="Times New Roman" w:hAnsi="Times New Roman" w:cs="Times New Roman"/>
          <w:lang w:val="en-US" w:eastAsia="zh-CN"/>
        </w:rPr>
        <w:t xml:space="preserve"> </w:t>
      </w:r>
      <w:r>
        <w:rPr>
          <w:rFonts w:hint="default" w:ascii="Times New Roman" w:hAnsi="Times New Roman" w:cs="Times New Roman"/>
        </w:rPr>
        <w:t>feuille de route pour sa promotion</w:t>
      </w:r>
      <w:r>
        <w:rPr>
          <w:rFonts w:hint="default" w:ascii="Times New Roman" w:hAnsi="Times New Roman" w:cs="Times New Roman"/>
          <w:lang w:val="en-US" w:eastAsia="zh-CN"/>
        </w:rPr>
        <w:t>,2025</w:t>
      </w:r>
    </w:p>
  </w:footnote>
  <w:footnote w:id="14">
    <w:p w14:paraId="061E1943">
      <w:pPr>
        <w:pStyle w:val="6"/>
        <w:tabs>
          <w:tab w:val="left" w:pos="7240"/>
        </w:tabs>
        <w:snapToGrid w:val="0"/>
        <w:rPr>
          <w:rFonts w:hint="default" w:ascii="Times New Roman" w:hAnsi="Times New Roman" w:eastAsia="宋体" w:cs="Times New Roman"/>
          <w:lang w:val="en-US" w:eastAsia="zh-CN"/>
        </w:rPr>
      </w:pPr>
      <w:r>
        <w:rPr>
          <w:rStyle w:val="11"/>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en-US" w:eastAsia="zh-CN"/>
        </w:rPr>
        <w:t>CPI</w:t>
      </w:r>
      <w:r>
        <w:rPr>
          <w:rFonts w:hint="eastAsia" w:ascii="Times New Roman" w:hAnsi="Times New Roman" w:cs="Times New Roman"/>
          <w:lang w:val="en-US" w:eastAsia="zh-CN"/>
        </w:rPr>
        <w:t>,</w:t>
      </w:r>
      <w:r>
        <w:rPr>
          <w:rFonts w:hint="default" w:ascii="Times New Roman" w:hAnsi="Times New Roman" w:cs="Times New Roman"/>
        </w:rPr>
        <w:t>Global Landscape of Climate Finance 2024: Insights for COP29</w:t>
      </w:r>
      <w:r>
        <w:rPr>
          <w:rFonts w:hint="eastAsia" w:ascii="Times New Roman" w:hAnsi="Times New Roman" w:cs="Times New Roman"/>
          <w:lang w:val="en-US" w:eastAsia="zh-CN"/>
        </w:rPr>
        <w:t>,2024.</w:t>
      </w:r>
      <w:r>
        <w:rPr>
          <w:rFonts w:hint="default" w:ascii="Times New Roman" w:hAnsi="Times New Roman" w:cs="Times New Roman"/>
          <w:lang w:eastAsia="zh-CN"/>
        </w:rPr>
        <w:tab/>
      </w:r>
      <w:r>
        <w:rPr>
          <w:rFonts w:hint="default" w:ascii="Times New Roman" w:hAnsi="Times New Roman" w:cs="Times New Roman"/>
          <w:lang w:val="en-US" w:eastAsia="zh-CN"/>
        </w:rPr>
        <w:t>.</w:t>
      </w:r>
    </w:p>
  </w:footnote>
  <w:footnote w:id="15">
    <w:p w14:paraId="7AA99A18">
      <w:pPr>
        <w:pStyle w:val="6"/>
        <w:tabs>
          <w:tab w:val="center" w:pos="4153"/>
        </w:tabs>
        <w:snapToGrid w:val="0"/>
        <w:rPr>
          <w:rFonts w:hint="default" w:ascii="Times New Roman" w:hAnsi="Times New Roman" w:eastAsia="宋体" w:cs="Times New Roman"/>
          <w:lang w:val="en-US" w:eastAsia="zh-CN"/>
        </w:rPr>
      </w:pPr>
      <w:r>
        <w:rPr>
          <w:rStyle w:val="11"/>
          <w:rFonts w:hint="default" w:ascii="Times New Roman" w:hAnsi="Times New Roman" w:cs="Times New Roman"/>
        </w:rPr>
        <w:footnoteRef/>
      </w:r>
      <w:r>
        <w:rPr>
          <w:rFonts w:hint="default" w:ascii="Times New Roman" w:hAnsi="Times New Roman" w:cs="Times New Roman"/>
        </w:rPr>
        <w:t xml:space="preserve"> FAO</w:t>
      </w:r>
      <w:r>
        <w:rPr>
          <w:rFonts w:hint="eastAsia" w:ascii="Times New Roman" w:hAnsi="Times New Roman" w:cs="Times New Roman"/>
          <w:lang w:val="en-US" w:eastAsia="zh-CN"/>
        </w:rPr>
        <w:t>,</w:t>
      </w:r>
      <w:r>
        <w:rPr>
          <w:rFonts w:hint="default" w:ascii="Times New Roman" w:hAnsi="Times New Roman" w:cs="Times New Roman"/>
        </w:rPr>
        <w:t>Engaging the private sector in climate action</w:t>
      </w:r>
      <w:r>
        <w:rPr>
          <w:rFonts w:hint="eastAsia" w:ascii="Times New Roman" w:hAnsi="Times New Roman" w:cs="Times New Roman"/>
          <w:lang w:val="en-US" w:eastAsia="zh-CN"/>
        </w:rPr>
        <w:t>,2025.</w:t>
      </w:r>
    </w:p>
  </w:footnote>
  <w:footnote w:id="16">
    <w:p w14:paraId="4CD33D78">
      <w:pPr>
        <w:pStyle w:val="6"/>
        <w:snapToGrid w:val="0"/>
        <w:rPr>
          <w:rFonts w:hint="default" w:ascii="Times New Roman" w:hAnsi="Times New Roman" w:eastAsia="宋体" w:cs="Times New Roman"/>
          <w:lang w:val="en-US" w:eastAsia="zh-CN"/>
        </w:rPr>
      </w:pPr>
      <w:r>
        <w:rPr>
          <w:rStyle w:val="11"/>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en-US" w:eastAsia="zh-CN"/>
        </w:rPr>
        <w:t>CASA</w:t>
      </w:r>
      <w:r>
        <w:rPr>
          <w:rFonts w:hint="eastAsia" w:ascii="Times New Roman" w:hAnsi="Times New Roman" w:cs="Times New Roman"/>
          <w:lang w:val="en-US" w:eastAsia="zh-CN"/>
        </w:rPr>
        <w:t>,</w:t>
      </w:r>
      <w:r>
        <w:rPr>
          <w:rFonts w:hint="default" w:ascii="Times New Roman" w:hAnsi="Times New Roman" w:cs="Times New Roman"/>
        </w:rPr>
        <w:t>The state of the agri-SME sector – Bridging the finance gap</w:t>
      </w:r>
      <w:r>
        <w:rPr>
          <w:rFonts w:hint="eastAsia" w:ascii="Times New Roman" w:hAnsi="Times New Roman" w:cs="Times New Roman"/>
          <w:lang w:val="en-US" w:eastAsia="zh-CN"/>
        </w:rPr>
        <w:t>,2022.</w:t>
      </w:r>
    </w:p>
  </w:footnote>
  <w:footnote w:id="17">
    <w:p w14:paraId="1F31B030">
      <w:pPr>
        <w:pStyle w:val="6"/>
        <w:snapToGrid w:val="0"/>
        <w:rPr>
          <w:rFonts w:hint="default" w:ascii="Times New Roman" w:hAnsi="Times New Roman" w:eastAsia="宋体" w:cs="Times New Roman"/>
          <w:lang w:val="en-US" w:eastAsia="zh-CN"/>
        </w:rPr>
      </w:pPr>
      <w:r>
        <w:rPr>
          <w:rStyle w:val="11"/>
          <w:rFonts w:hint="default" w:ascii="Times New Roman" w:hAnsi="Times New Roman" w:cs="Times New Roman"/>
        </w:rPr>
        <w:footnoteRef/>
      </w:r>
      <w:r>
        <w:rPr>
          <w:rFonts w:hint="default" w:ascii="Times New Roman" w:hAnsi="Times New Roman" w:cs="Times New Roman"/>
        </w:rPr>
        <w:t xml:space="preserve"> Platform for Agricultural Risk Management</w:t>
      </w:r>
      <w:r>
        <w:rPr>
          <w:rFonts w:hint="eastAsia" w:ascii="Times New Roman" w:hAnsi="Times New Roman" w:cs="Times New Roman"/>
          <w:lang w:val="en-US" w:eastAsia="zh-CN"/>
        </w:rPr>
        <w:t>,</w:t>
      </w:r>
      <w:r>
        <w:rPr>
          <w:rFonts w:hint="default" w:ascii="Times New Roman" w:hAnsi="Times New Roman" w:cs="Times New Roman"/>
        </w:rPr>
        <w:t>Etat des lieux de l’assurance agricole et feuille de route pour sa promotion</w:t>
      </w:r>
      <w:r>
        <w:rPr>
          <w:rFonts w:hint="eastAsia" w:ascii="Times New Roman" w:hAnsi="Times New Roman" w:cs="Times New Roman"/>
          <w:lang w:val="en-US" w:eastAsia="zh-CN"/>
        </w:rPr>
        <w:t>,2025.</w:t>
      </w:r>
    </w:p>
  </w:footnote>
  <w:footnote w:id="18">
    <w:p w14:paraId="5CDA143B">
      <w:pPr>
        <w:pStyle w:val="6"/>
        <w:snapToGrid w:val="0"/>
        <w:rPr>
          <w:rFonts w:hint="default" w:ascii="Times New Roman" w:hAnsi="Times New Roman" w:eastAsia="宋体" w:cs="Times New Roman"/>
          <w:lang w:val="en-US" w:eastAsia="zh-CN"/>
        </w:rPr>
      </w:pPr>
      <w:r>
        <w:rPr>
          <w:rStyle w:val="11"/>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en-US" w:eastAsia="zh-CN"/>
        </w:rPr>
        <w:t>World Bank</w:t>
      </w:r>
      <w:r>
        <w:rPr>
          <w:rFonts w:hint="eastAsia" w:ascii="Times New Roman" w:hAnsi="Times New Roman" w:cs="Times New Roman"/>
          <w:lang w:val="en-US" w:eastAsia="zh-CN"/>
        </w:rPr>
        <w:t>,</w:t>
      </w:r>
      <w:r>
        <w:rPr>
          <w:rFonts w:hint="default" w:ascii="Times New Roman" w:hAnsi="Times New Roman" w:cs="Times New Roman"/>
          <w:lang w:val="en-US" w:eastAsia="zh-CN"/>
        </w:rPr>
        <w:t>Options for Increased Private Sector Participation in Resilience Investment: Focus on Agriculture</w:t>
      </w:r>
      <w:r>
        <w:rPr>
          <w:rFonts w:hint="eastAsia" w:ascii="Times New Roman" w:hAnsi="Times New Roman" w:cs="Times New Roman"/>
          <w:lang w:val="en-US" w:eastAsia="zh-CN"/>
        </w:rPr>
        <w:t>,2018.</w:t>
      </w:r>
    </w:p>
  </w:footnote>
  <w:footnote w:id="19">
    <w:p w14:paraId="5DC1B10D">
      <w:pPr>
        <w:pStyle w:val="6"/>
        <w:snapToGrid w:val="0"/>
        <w:rPr>
          <w:rFonts w:hint="default" w:ascii="Times New Roman" w:hAnsi="Times New Roman" w:eastAsia="宋体" w:cs="Times New Roman"/>
          <w:lang w:val="en-US" w:eastAsia="zh-CN"/>
        </w:rPr>
      </w:pPr>
      <w:r>
        <w:rPr>
          <w:rStyle w:val="11"/>
          <w:rFonts w:hint="default" w:ascii="Times New Roman" w:hAnsi="Times New Roman" w:cs="Times New Roman"/>
        </w:rPr>
        <w:footnoteRef/>
      </w:r>
      <w:r>
        <w:rPr>
          <w:rFonts w:hint="default" w:ascii="Times New Roman" w:hAnsi="Times New Roman" w:cs="Times New Roman"/>
        </w:rPr>
        <w:t xml:space="preserve"> CPI</w:t>
      </w:r>
      <w:r>
        <w:rPr>
          <w:rFonts w:hint="eastAsia" w:ascii="Times New Roman" w:hAnsi="Times New Roman" w:cs="Times New Roman"/>
          <w:lang w:val="en-US" w:eastAsia="zh-CN"/>
        </w:rPr>
        <w:t>,</w:t>
      </w:r>
      <w:r>
        <w:rPr>
          <w:rFonts w:hint="default" w:ascii="Times New Roman" w:hAnsi="Times New Roman" w:cs="Times New Roman"/>
        </w:rPr>
        <w:t>The Triple Gap in Finance for Agrifood Systems</w:t>
      </w:r>
      <w:r>
        <w:rPr>
          <w:rFonts w:hint="eastAsia" w:ascii="Times New Roman" w:hAnsi="Times New Roman" w:cs="Times New Roman"/>
          <w:lang w:val="en-US" w:eastAsia="zh-CN"/>
        </w:rPr>
        <w:t>,2024.</w:t>
      </w:r>
    </w:p>
  </w:footnote>
  <w:footnote w:id="20">
    <w:p w14:paraId="3167A53D">
      <w:pPr>
        <w:pStyle w:val="6"/>
        <w:snapToGrid w:val="0"/>
        <w:rPr>
          <w:rFonts w:hint="default" w:ascii="Times New Roman" w:hAnsi="Times New Roman" w:eastAsia="宋体" w:cs="Times New Roman"/>
          <w:lang w:val="en-US" w:eastAsia="zh-CN"/>
        </w:rPr>
      </w:pPr>
      <w:r>
        <w:rPr>
          <w:rStyle w:val="11"/>
          <w:rFonts w:hint="default" w:ascii="Times New Roman" w:hAnsi="Times New Roman" w:cs="Times New Roman"/>
        </w:rPr>
        <w:footnoteRef/>
      </w:r>
      <w:r>
        <w:rPr>
          <w:rFonts w:hint="default" w:ascii="Times New Roman" w:hAnsi="Times New Roman" w:cs="Times New Roman"/>
        </w:rPr>
        <w:t xml:space="preserve"> FAO</w:t>
      </w:r>
      <w:r>
        <w:rPr>
          <w:rFonts w:hint="eastAsia" w:ascii="Times New Roman" w:hAnsi="Times New Roman" w:cs="Times New Roman"/>
          <w:lang w:val="en-US" w:eastAsia="zh-CN"/>
        </w:rPr>
        <w:t>,</w:t>
      </w:r>
      <w:r>
        <w:rPr>
          <w:rFonts w:hint="default" w:ascii="Times New Roman" w:hAnsi="Times New Roman" w:cs="Times New Roman"/>
        </w:rPr>
        <w:t>The State of Food and Agriculture: Agriculture Food Systems Transformation: from Strategy to Action</w:t>
      </w:r>
      <w:r>
        <w:rPr>
          <w:rFonts w:hint="eastAsia" w:ascii="Times New Roman" w:hAnsi="Times New Roman" w:cs="Times New Roman"/>
          <w:lang w:val="en-US" w:eastAsia="zh-CN"/>
        </w:rPr>
        <w:t>,2021.</w:t>
      </w:r>
    </w:p>
  </w:footnote>
  <w:footnote w:id="21">
    <w:p w14:paraId="5CB510AE">
      <w:pPr>
        <w:pStyle w:val="6"/>
        <w:snapToGrid w:val="0"/>
        <w:rPr>
          <w:rFonts w:hint="default" w:ascii="Times New Roman" w:hAnsi="Times New Roman" w:cs="Times New Roman"/>
          <w:lang w:val="en-US"/>
        </w:rPr>
      </w:pPr>
      <w:r>
        <w:rPr>
          <w:rStyle w:val="11"/>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en-US" w:eastAsia="zh-CN"/>
        </w:rPr>
        <w:t>The Republic of Uganda</w:t>
      </w:r>
      <w:r>
        <w:rPr>
          <w:rFonts w:hint="eastAsia" w:ascii="Times New Roman" w:hAnsi="Times New Roman" w:cs="Times New Roman"/>
          <w:lang w:val="en-US" w:eastAsia="zh-CN"/>
        </w:rPr>
        <w:t>,</w:t>
      </w:r>
      <w:r>
        <w:rPr>
          <w:rFonts w:hint="default" w:ascii="Times New Roman" w:hAnsi="Times New Roman" w:cs="Times New Roman"/>
          <w:lang w:val="en-US" w:eastAsia="zh-CN"/>
        </w:rPr>
        <w:t>National Adaptation Plan for the Agricultural Sector</w:t>
      </w:r>
      <w:r>
        <w:rPr>
          <w:rFonts w:hint="eastAsia" w:ascii="Times New Roman" w:hAnsi="Times New Roman" w:cs="Times New Roman"/>
          <w:lang w:val="en-US" w:eastAsia="zh-CN"/>
        </w:rPr>
        <w:t>,2018.</w:t>
      </w:r>
    </w:p>
  </w:footnote>
  <w:footnote w:id="22">
    <w:p w14:paraId="790902BA">
      <w:pPr>
        <w:pStyle w:val="6"/>
        <w:snapToGrid w:val="0"/>
        <w:rPr>
          <w:rFonts w:hint="default" w:ascii="Times New Roman" w:hAnsi="Times New Roman" w:eastAsia="宋体" w:cs="Times New Roman"/>
          <w:lang w:val="en-US" w:eastAsia="zh-CN"/>
        </w:rPr>
      </w:pPr>
      <w:r>
        <w:rPr>
          <w:rStyle w:val="11"/>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en-US" w:eastAsia="zh-CN"/>
        </w:rPr>
        <w:t>UNDP</w:t>
      </w:r>
      <w:r>
        <w:rPr>
          <w:rFonts w:hint="eastAsia" w:ascii="Times New Roman" w:hAnsi="Times New Roman" w:cs="Times New Roman"/>
          <w:lang w:val="en-US" w:eastAsia="zh-CN"/>
        </w:rPr>
        <w:t>,</w:t>
      </w:r>
      <w:r>
        <w:rPr>
          <w:rFonts w:hint="default" w:ascii="Times New Roman" w:hAnsi="Times New Roman" w:cs="Times New Roman"/>
          <w:lang w:val="en-US" w:eastAsia="zh-CN"/>
        </w:rPr>
        <w:t>Financing the climate transition in China’s agri-food systems: toward net zero, resilience and justice</w:t>
      </w:r>
      <w:r>
        <w:rPr>
          <w:rFonts w:hint="eastAsia" w:ascii="Times New Roman" w:hAnsi="Times New Roman" w:cs="Times New Roman"/>
          <w:lang w:val="en-US" w:eastAsia="zh-CN"/>
        </w:rPr>
        <w:t>,2024.</w:t>
      </w:r>
    </w:p>
  </w:footnote>
  <w:footnote w:id="23">
    <w:p w14:paraId="5F3D4A52">
      <w:pPr>
        <w:pStyle w:val="6"/>
        <w:snapToGrid w:val="0"/>
        <w:rPr>
          <w:rFonts w:hint="default" w:ascii="Times New Roman" w:hAnsi="Times New Roman" w:eastAsia="宋体" w:cs="Times New Roman"/>
          <w:lang w:val="en-US" w:eastAsia="zh-CN"/>
        </w:rPr>
      </w:pPr>
      <w:r>
        <w:rPr>
          <w:rStyle w:val="11"/>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en-US" w:eastAsia="zh-CN"/>
        </w:rPr>
        <w:t>World bank</w:t>
      </w:r>
      <w:r>
        <w:rPr>
          <w:rFonts w:hint="eastAsia" w:ascii="Times New Roman" w:hAnsi="Times New Roman" w:cs="Times New Roman"/>
          <w:lang w:val="en-US" w:eastAsia="zh-CN"/>
        </w:rPr>
        <w:t>,</w:t>
      </w:r>
      <w:r>
        <w:rPr>
          <w:rFonts w:hint="default" w:ascii="Times New Roman" w:hAnsi="Times New Roman" w:cs="Times New Roman"/>
          <w:lang w:val="en-US" w:eastAsia="zh-CN"/>
        </w:rPr>
        <w:t>Enabling Private Investment in Climate Adaptation and Resilience : Current Status, Barriers to Investment and Blueprint for Action</w:t>
      </w:r>
      <w:r>
        <w:rPr>
          <w:rFonts w:hint="eastAsia" w:ascii="Times New Roman" w:hAnsi="Times New Roman" w:cs="Times New Roman"/>
          <w:lang w:val="en-US" w:eastAsia="zh-CN"/>
        </w:rPr>
        <w:t>,2021.</w:t>
      </w:r>
    </w:p>
  </w:footnote>
  <w:footnote w:id="24">
    <w:p w14:paraId="6B4D716A">
      <w:pPr>
        <w:pStyle w:val="6"/>
        <w:snapToGrid w:val="0"/>
        <w:rPr>
          <w:rFonts w:hint="default" w:ascii="Times New Roman" w:hAnsi="Times New Roman" w:eastAsia="宋体" w:cs="Times New Roman"/>
          <w:lang w:val="en-US" w:eastAsia="zh-CN"/>
        </w:rPr>
      </w:pPr>
      <w:r>
        <w:rPr>
          <w:rStyle w:val="11"/>
          <w:rFonts w:hint="default" w:ascii="Times New Roman" w:hAnsi="Times New Roman" w:cs="Times New Roman"/>
        </w:rPr>
        <w:footnoteRef/>
      </w:r>
      <w:r>
        <w:rPr>
          <w:rFonts w:hint="default" w:ascii="Times New Roman" w:hAnsi="Times New Roman" w:cs="Times New Roman"/>
        </w:rPr>
        <w:t xml:space="preserve"> FAO</w:t>
      </w:r>
      <w:r>
        <w:rPr>
          <w:rFonts w:hint="eastAsia" w:ascii="Times New Roman" w:hAnsi="Times New Roman" w:cs="Times New Roman"/>
          <w:lang w:val="en-US" w:eastAsia="zh-CN"/>
        </w:rPr>
        <w:t>,</w:t>
      </w:r>
      <w:r>
        <w:rPr>
          <w:rFonts w:hint="default" w:ascii="Times New Roman" w:hAnsi="Times New Roman" w:cs="Times New Roman"/>
        </w:rPr>
        <w:t>Engaging the private sector in climate action</w:t>
      </w:r>
      <w:r>
        <w:rPr>
          <w:rFonts w:hint="eastAsia" w:ascii="Times New Roman" w:hAnsi="Times New Roman" w:cs="Times New Roman"/>
          <w:lang w:val="en-US" w:eastAsia="zh-CN"/>
        </w:rPr>
        <w:t>.2025</w:t>
      </w:r>
    </w:p>
  </w:footnote>
  <w:footnote w:id="25">
    <w:p w14:paraId="7035E74E">
      <w:pPr>
        <w:pStyle w:val="6"/>
        <w:snapToGrid w:val="0"/>
        <w:rPr>
          <w:rFonts w:hint="eastAsia" w:ascii="Times New Roman" w:hAnsi="Times New Roman" w:eastAsia="宋体" w:cs="Times New Roman"/>
          <w:lang w:val="en-US" w:eastAsia="zh-CN"/>
        </w:rPr>
      </w:pPr>
      <w:r>
        <w:rPr>
          <w:rStyle w:val="11"/>
          <w:rFonts w:hint="default" w:ascii="Times New Roman" w:hAnsi="Times New Roman" w:cs="Times New Roman"/>
        </w:rPr>
        <w:footnoteRef/>
      </w:r>
      <w:r>
        <w:rPr>
          <w:rFonts w:hint="default" w:ascii="Times New Roman" w:hAnsi="Times New Roman" w:cs="Times New Roman"/>
        </w:rPr>
        <w:t xml:space="preserve"> CASA</w:t>
      </w:r>
      <w:r>
        <w:rPr>
          <w:rFonts w:hint="eastAsia" w:ascii="Times New Roman" w:hAnsi="Times New Roman" w:cs="Times New Roman"/>
          <w:lang w:val="en-US" w:eastAsia="zh-CN"/>
        </w:rPr>
        <w:t>.</w:t>
      </w:r>
      <w:r>
        <w:rPr>
          <w:rFonts w:hint="default" w:ascii="Times New Roman" w:hAnsi="Times New Roman" w:cs="Times New Roman"/>
        </w:rPr>
        <w:t>The state of the agri-SME sector – Bridging the finance gap.2022</w:t>
      </w:r>
      <w:r>
        <w:rPr>
          <w:rFonts w:hint="eastAsia" w:ascii="Times New Roman" w:hAnsi="Times New Roman" w:cs="Times New Roman"/>
          <w:lang w:val="en-US" w:eastAsia="zh-CN"/>
        </w:rP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singleLevel"/>
    <w:tmpl w:val="00000000"/>
    <w:lvl w:ilvl="0" w:tentative="0">
      <w:start w:val="3"/>
      <w:numFmt w:val="chineseCounting"/>
      <w:suff w:val="nothing"/>
      <w:lvlText w:val="（%1）"/>
      <w:lvlJc w:val="left"/>
      <w:rPr>
        <w:rFonts w:hint="eastAsia"/>
      </w:rPr>
    </w:lvl>
  </w:abstractNum>
  <w:abstractNum w:abstractNumId="1">
    <w:nsid w:val="00000001"/>
    <w:multiLevelType w:val="multilevel"/>
    <w:tmpl w:val="00000001"/>
    <w:lvl w:ilvl="0" w:tentative="0">
      <w:start w:val="1"/>
      <w:numFmt w:val="chineseCounting"/>
      <w:suff w:val="nothing"/>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doNotDisplayPageBoundaries w:val="1"/>
  <w:documentProtection w:enforcement="0"/>
  <w:defaultTabStop w:val="420"/>
  <w:drawingGridVerticalSpacing w:val="156"/>
  <w:displayHorizontalDrawingGridEvery w:val="1"/>
  <w:displayVerticalDrawingGridEvery w:val="1"/>
  <w:noPunctuationKerning w:val="1"/>
  <w:characterSpacingControl w:val="compressPunctuation"/>
  <w:footnotePr>
    <w:footnote w:id="52"/>
    <w:footnote w:id="53"/>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9CF1A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Calibri" w:hAnsi="Calibri" w:eastAsia="仿宋" w:cs="宋体"/>
      <w:kern w:val="2"/>
      <w:sz w:val="28"/>
      <w:szCs w:val="24"/>
      <w:lang w:val="en-US" w:eastAsia="zh-CN" w:bidi="ar-SA"/>
    </w:rPr>
  </w:style>
  <w:style w:type="paragraph" w:styleId="2">
    <w:name w:val="heading 1"/>
    <w:basedOn w:val="1"/>
    <w:next w:val="1"/>
    <w:qFormat/>
    <w:uiPriority w:val="0"/>
    <w:pPr>
      <w:keepNext/>
      <w:keepLines/>
      <w:spacing w:before="600" w:beforeLines="600" w:beforeAutospacing="0" w:after="300" w:afterLines="300" w:afterAutospacing="0" w:line="240" w:lineRule="auto"/>
      <w:jc w:val="center"/>
      <w:outlineLvl w:val="0"/>
    </w:pPr>
    <w:rPr>
      <w:rFonts w:ascii="Calibri" w:hAnsi="Calibri" w:eastAsia="黑体"/>
      <w:kern w:val="44"/>
      <w:sz w:val="36"/>
    </w:rPr>
  </w:style>
  <w:style w:type="paragraph" w:styleId="3">
    <w:name w:val="heading 2"/>
    <w:basedOn w:val="1"/>
    <w:next w:val="1"/>
    <w:qFormat/>
    <w:uiPriority w:val="0"/>
    <w:pPr>
      <w:spacing w:before="0" w:beforeAutospacing="1" w:after="0" w:afterAutospacing="1"/>
      <w:jc w:val="left"/>
      <w:outlineLvl w:val="1"/>
    </w:pPr>
    <w:rPr>
      <w:rFonts w:ascii="黑体" w:hAnsi="黑体" w:eastAsia="黑体" w:cs="宋体"/>
      <w:bCs/>
      <w:kern w:val="0"/>
      <w:sz w:val="30"/>
      <w:szCs w:val="36"/>
    </w:rPr>
  </w:style>
  <w:style w:type="paragraph" w:styleId="4">
    <w:name w:val="heading 3"/>
    <w:basedOn w:val="1"/>
    <w:next w:val="1"/>
    <w:link w:val="13"/>
    <w:qFormat/>
    <w:uiPriority w:val="0"/>
    <w:pPr>
      <w:keepNext/>
      <w:keepLines/>
      <w:tabs>
        <w:tab w:val="left" w:pos="0"/>
      </w:tabs>
      <w:spacing w:before="200" w:beforeAutospacing="0" w:after="200" w:afterAutospacing="0" w:line="400" w:lineRule="exact"/>
      <w:ind w:left="0" w:leftChars="0" w:firstLine="0"/>
      <w:jc w:val="left"/>
      <w:outlineLvl w:val="2"/>
    </w:pPr>
    <w:rPr>
      <w:rFonts w:ascii="Cambria" w:hAnsi="Cambria" w:eastAsia="黑体" w:cs="Arial Unicode MS"/>
      <w:sz w:val="24"/>
    </w:rPr>
  </w:style>
  <w:style w:type="paragraph" w:styleId="5">
    <w:name w:val="heading 4"/>
    <w:basedOn w:val="1"/>
    <w:next w:val="1"/>
    <w:link w:val="12"/>
    <w:qFormat/>
    <w:uiPriority w:val="0"/>
    <w:pPr>
      <w:keepNext/>
      <w:keepLines/>
      <w:spacing w:line="360" w:lineRule="auto"/>
      <w:ind w:left="420" w:leftChars="200"/>
      <w:jc w:val="left"/>
      <w:outlineLvl w:val="9"/>
    </w:pPr>
    <w:rPr>
      <w:rFonts w:ascii="Calibri Light" w:hAnsi="Calibri Light" w:eastAsia="宋体" w:cs="微软雅黑"/>
      <w:b/>
      <w:iCs/>
      <w:color w:val="000000"/>
      <w:sz w:val="24"/>
      <w:szCs w:val="22"/>
      <w:lang w:val="en-GB"/>
    </w:rPr>
  </w:style>
  <w:style w:type="character" w:default="1" w:styleId="9">
    <w:name w:val="Default Paragraph Font"/>
    <w:qFormat/>
    <w:uiPriority w:val="1"/>
  </w:style>
  <w:style w:type="table" w:default="1" w:styleId="7">
    <w:name w:val="Normal Table"/>
    <w:qFormat/>
    <w:uiPriority w:val="0"/>
    <w:tblPr>
      <w:tblCellMar>
        <w:top w:w="0" w:type="dxa"/>
        <w:left w:w="108" w:type="dxa"/>
        <w:bottom w:w="0" w:type="dxa"/>
        <w:right w:w="108" w:type="dxa"/>
      </w:tblCellMar>
    </w:tblPr>
  </w:style>
  <w:style w:type="paragraph" w:styleId="6">
    <w:name w:val="footnote text"/>
    <w:basedOn w:val="1"/>
    <w:qFormat/>
    <w:uiPriority w:val="0"/>
    <w:pPr>
      <w:snapToGrid w:val="0"/>
      <w:jc w:val="left"/>
    </w:pPr>
    <w:rPr>
      <w:rFonts w:ascii="Calibri" w:hAnsi="Calibri" w:eastAsia="宋体"/>
      <w:sz w:val="18"/>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Emphasis"/>
    <w:basedOn w:val="9"/>
    <w:qFormat/>
    <w:uiPriority w:val="0"/>
    <w:rPr>
      <w:i/>
    </w:rPr>
  </w:style>
  <w:style w:type="character" w:styleId="11">
    <w:name w:val="footnote reference"/>
    <w:basedOn w:val="9"/>
    <w:qFormat/>
    <w:uiPriority w:val="0"/>
    <w:rPr>
      <w:vertAlign w:val="superscript"/>
    </w:rPr>
  </w:style>
  <w:style w:type="character" w:customStyle="1" w:styleId="12">
    <w:name w:val="标题 4 字符"/>
    <w:basedOn w:val="9"/>
    <w:link w:val="5"/>
    <w:qFormat/>
    <w:uiPriority w:val="9"/>
    <w:rPr>
      <w:rFonts w:ascii="Calibri Light" w:hAnsi="Calibri Light" w:eastAsia="宋体" w:cs="微软雅黑"/>
      <w:b/>
      <w:iCs/>
      <w:color w:val="000000"/>
      <w:sz w:val="24"/>
      <w:szCs w:val="22"/>
      <w:lang w:val="en-GB"/>
    </w:rPr>
  </w:style>
  <w:style w:type="character" w:customStyle="1" w:styleId="13">
    <w:name w:val="标题 3 Char"/>
    <w:link w:val="4"/>
    <w:qFormat/>
    <w:uiPriority w:val="0"/>
    <w:rPr>
      <w:rFonts w:ascii="Cambria" w:hAnsi="Cambria" w:eastAsia="黑体" w:cs="Arial Unicode MS"/>
      <w:sz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1546</Words>
  <Characters>1678</Characters>
  <Paragraphs>115</Paragraphs>
  <TotalTime>4</TotalTime>
  <ScaleCrop>false</ScaleCrop>
  <LinksUpToDate>false</LinksUpToDate>
  <CharactersWithSpaces>1683</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2025-06-19T02:45:00Z</dcterms:created>
  <dc:creator>33</dc:creator>
  <cp:lastModifiedBy>33</cp:lastModifiedBy>
  <dcterms:modified xsi:type="dcterms:W3CDTF">2025-06-19T07:16:40Z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d1bd78c591de41718296865657402b8c_23</vt:lpwstr>
  </property>
  <property fmtid="{D5CDD505-2E9C-101B-9397-08002B2CF9AE}" pid="4" name="KSOTemplateDocerSaveRecord">
    <vt:lpwstr>eyJoZGlkIjoiYjdkNjcyNGY2MTgzZWM1ODQxYThkY2Q5NDIxYjJmNjAiLCJ1c2VySWQiOiIzMjMyMzgxNDkifQ==</vt:lpwstr>
  </property>
</Properties>
</file>