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4522" w:rsidRDefault="00000000">
      <w:pPr>
        <w:jc w:val="center"/>
        <w:rPr>
          <w:rFonts w:ascii="黑体" w:eastAsia="黑体" w:hAnsi="黑体" w:cs="黑体" w:hint="eastAsia"/>
          <w:sz w:val="36"/>
          <w:szCs w:val="36"/>
        </w:rPr>
      </w:pPr>
      <w:r>
        <w:rPr>
          <w:rFonts w:ascii="黑体" w:eastAsia="黑体" w:hAnsi="黑体" w:cs="黑体" w:hint="eastAsia"/>
          <w:sz w:val="36"/>
          <w:szCs w:val="36"/>
        </w:rPr>
        <w:t>埃及</w:t>
      </w:r>
      <w:r>
        <w:rPr>
          <w:rFonts w:ascii="黑体" w:eastAsia="黑体" w:hAnsi="黑体" w:cs="黑体"/>
          <w:sz w:val="36"/>
          <w:szCs w:val="36"/>
        </w:rPr>
        <w:t>经济</w:t>
      </w:r>
      <w:r>
        <w:rPr>
          <w:rFonts w:ascii="黑体" w:eastAsia="黑体" w:hAnsi="黑体" w:cs="黑体" w:hint="eastAsia"/>
          <w:sz w:val="36"/>
          <w:szCs w:val="36"/>
        </w:rPr>
        <w:t>复苏态势明显</w:t>
      </w:r>
    </w:p>
    <w:p w:rsidR="00694522" w:rsidRDefault="00000000">
      <w:pPr>
        <w:spacing w:line="560" w:lineRule="exact"/>
        <w:ind w:firstLineChars="200" w:firstLine="560"/>
        <w:rPr>
          <w:rFonts w:ascii="黑体" w:eastAsia="黑体" w:hAnsi="黑体" w:cs="黑体" w:hint="eastAsia"/>
          <w:color w:val="000000" w:themeColor="text1"/>
          <w:sz w:val="36"/>
          <w:szCs w:val="36"/>
        </w:rPr>
      </w:pP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2025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年以来，埃及经济展现强劲的复苏态势，通货膨胀率持续下降，就业状况、贸易情况逐步改善。股票市场表现稳健，国债收益率曲线趋于稳定，外汇市场波动收窄。随着标普等国际机构上调其主权信用评级，市场信心得到提振，预计埃及经济发展将继续保持向好势头。</w:t>
      </w:r>
    </w:p>
    <w:p w:rsidR="00694522" w:rsidRDefault="00000000">
      <w:pPr>
        <w:spacing w:line="500" w:lineRule="exact"/>
        <w:ind w:firstLineChars="200" w:firstLine="562"/>
        <w:rPr>
          <w:rFonts w:ascii="Times New Roman" w:eastAsia="仿宋_GB2312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仿宋_GB2312" w:hAnsi="Times New Roman" w:hint="eastAsia"/>
          <w:b/>
          <w:bCs/>
          <w:color w:val="000000" w:themeColor="text1"/>
          <w:sz w:val="28"/>
          <w:szCs w:val="28"/>
        </w:rPr>
        <w:t>一、实体经济运行情况</w:t>
      </w:r>
    </w:p>
    <w:p w:rsidR="00694522" w:rsidRDefault="00000000">
      <w:pPr>
        <w:spacing w:line="500" w:lineRule="exact"/>
        <w:ind w:firstLineChars="200" w:firstLine="562"/>
        <w:rPr>
          <w:rFonts w:ascii="Times New Roman" w:eastAsia="仿宋_GB2312" w:hAnsi="Times New Roman"/>
          <w:color w:val="000000" w:themeColor="text1"/>
          <w:sz w:val="28"/>
          <w:szCs w:val="28"/>
        </w:rPr>
      </w:pPr>
      <w:r>
        <w:rPr>
          <w:rFonts w:ascii="Times New Roman" w:eastAsia="仿宋_GB2312" w:hAnsi="Times New Roman"/>
          <w:b/>
          <w:bCs/>
          <w:color w:val="000000" w:themeColor="text1"/>
          <w:sz w:val="28"/>
          <w:szCs w:val="28"/>
        </w:rPr>
        <w:t>经济</w:t>
      </w:r>
      <w:r>
        <w:rPr>
          <w:rFonts w:ascii="Times New Roman" w:eastAsia="仿宋_GB2312" w:hAnsi="Times New Roman" w:hint="eastAsia"/>
          <w:b/>
          <w:bCs/>
          <w:color w:val="000000" w:themeColor="text1"/>
          <w:sz w:val="28"/>
          <w:szCs w:val="28"/>
        </w:rPr>
        <w:t>增长势头强劲。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2025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年第二季度，埃及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GDP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同比增长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5%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，创下三年来最高的季度增长率水平，首次推动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2024/2025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财年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GDP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年增长率达到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4.4%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，较上一财年提高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2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个百分点。其中，旅游业、非石油制造业、通信和信息技术业表现亮眼，环比分别增长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19.3%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、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18.8%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、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14.6%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。</w:t>
      </w:r>
    </w:p>
    <w:p w:rsidR="00694522" w:rsidRDefault="00000000">
      <w:pPr>
        <w:spacing w:line="500" w:lineRule="exact"/>
        <w:ind w:firstLineChars="200" w:firstLine="562"/>
        <w:rPr>
          <w:rFonts w:ascii="Times New Roman" w:eastAsia="仿宋_GB2312" w:hAnsi="Times New Roman"/>
          <w:color w:val="000000" w:themeColor="text1"/>
          <w:sz w:val="28"/>
          <w:szCs w:val="28"/>
        </w:rPr>
      </w:pPr>
      <w:r>
        <w:rPr>
          <w:rFonts w:ascii="Times New Roman" w:eastAsia="仿宋_GB2312" w:hAnsi="Times New Roman" w:hint="eastAsia"/>
          <w:b/>
          <w:bCs/>
          <w:color w:val="000000" w:themeColor="text1"/>
          <w:sz w:val="28"/>
          <w:szCs w:val="28"/>
        </w:rPr>
        <w:t>通胀水平显著下降。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在国内经济压力缓解、食品价格下行影响下，埃及通胀预期逐渐改善，自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5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月的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16.8%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逐月回落至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9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月的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11.7%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，连续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4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个月呈现下降趋势。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受燃油价格上调及租金上涨影响，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10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月通胀率小幅反弹至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12.5%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，但仍低于去年同期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13.9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个百分点。</w:t>
      </w:r>
    </w:p>
    <w:p w:rsidR="00694522" w:rsidRDefault="00000000">
      <w:pPr>
        <w:spacing w:line="500" w:lineRule="exact"/>
        <w:ind w:firstLineChars="200" w:firstLine="562"/>
        <w:rPr>
          <w:rFonts w:ascii="Times New Roman" w:eastAsia="仿宋_GB2312" w:hAnsi="Times New Roman"/>
          <w:color w:val="000000" w:themeColor="text1"/>
          <w:sz w:val="28"/>
          <w:szCs w:val="28"/>
        </w:rPr>
      </w:pPr>
      <w:r>
        <w:rPr>
          <w:rFonts w:ascii="Times New Roman" w:eastAsia="仿宋_GB2312" w:hAnsi="Times New Roman" w:hint="eastAsia"/>
          <w:b/>
          <w:bCs/>
          <w:color w:val="000000" w:themeColor="text1"/>
          <w:sz w:val="28"/>
          <w:szCs w:val="28"/>
        </w:rPr>
        <w:t>失业率</w:t>
      </w:r>
      <w:r>
        <w:rPr>
          <w:rFonts w:ascii="Times New Roman" w:eastAsia="仿宋_GB2312" w:hAnsi="Times New Roman"/>
          <w:b/>
          <w:bCs/>
          <w:color w:val="000000" w:themeColor="text1"/>
          <w:sz w:val="28"/>
          <w:szCs w:val="28"/>
        </w:rPr>
        <w:t>下降但</w:t>
      </w:r>
      <w:r>
        <w:rPr>
          <w:rFonts w:ascii="Times New Roman" w:eastAsia="仿宋_GB2312" w:hAnsi="Times New Roman" w:hint="eastAsia"/>
          <w:b/>
          <w:bCs/>
          <w:color w:val="000000" w:themeColor="text1"/>
          <w:sz w:val="28"/>
          <w:szCs w:val="28"/>
        </w:rPr>
        <w:t>结构性失衡。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2025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年二季度，埃及失业率为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6.1%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，环比下降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0.2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个百分点，同比下降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0.4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个百分点，其中女性失业率下降至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15.8%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，但年轻群体失业率仍然较高。</w:t>
      </w:r>
    </w:p>
    <w:p w:rsidR="00694522" w:rsidRDefault="00000000">
      <w:pPr>
        <w:spacing w:line="500" w:lineRule="exact"/>
        <w:ind w:firstLineChars="200" w:firstLine="562"/>
        <w:rPr>
          <w:rFonts w:ascii="Times New Roman" w:eastAsia="仿宋_GB2312" w:hAnsi="Times New Roman"/>
          <w:color w:val="000000" w:themeColor="text1"/>
          <w:sz w:val="28"/>
          <w:szCs w:val="28"/>
        </w:rPr>
      </w:pPr>
      <w:r>
        <w:rPr>
          <w:rFonts w:ascii="Times New Roman" w:eastAsia="仿宋_GB2312" w:hAnsi="Times New Roman" w:hint="eastAsia"/>
          <w:b/>
          <w:bCs/>
          <w:color w:val="000000" w:themeColor="text1"/>
          <w:sz w:val="28"/>
          <w:szCs w:val="28"/>
        </w:rPr>
        <w:t>贸易逆差收窄。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2025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年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8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月，埃及出口额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39.6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亿美元，同比增长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6.7%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，主要得益于食品（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29.1%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）、化学制品（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29.1%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）、原油（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7.6%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）等领域表现强劲；进口额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86.9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亿美元，同比增长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0.2%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，主要下降领域为钢铁原材料（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-33.8%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）、初级塑料（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-7.8%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）、小麦（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-13.3%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）、石油产品（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-15.5%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）；贸易逆差同比下降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4.63%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至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47.3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亿美元。</w:t>
      </w:r>
    </w:p>
    <w:p w:rsidR="00694522" w:rsidRDefault="00000000">
      <w:pPr>
        <w:spacing w:line="500" w:lineRule="exact"/>
        <w:ind w:firstLineChars="200" w:firstLine="562"/>
        <w:rPr>
          <w:rFonts w:ascii="Times New Roman" w:eastAsia="仿宋_GB2312" w:hAnsi="Times New Roman"/>
          <w:color w:val="000000" w:themeColor="text1"/>
          <w:sz w:val="28"/>
          <w:szCs w:val="28"/>
        </w:rPr>
      </w:pPr>
      <w:r>
        <w:rPr>
          <w:rFonts w:ascii="Times New Roman" w:eastAsia="仿宋_GB2312" w:hAnsi="Times New Roman" w:hint="eastAsia"/>
          <w:b/>
          <w:bCs/>
          <w:color w:val="000000" w:themeColor="text1"/>
          <w:sz w:val="28"/>
          <w:szCs w:val="28"/>
        </w:rPr>
        <w:t>外汇储备余额稳步增加。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2025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年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10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月，埃及外汇储备余额达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500.71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亿美元，较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9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月增长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5.37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亿美元，延续自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2022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年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8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月以来的上升趋势。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外汇储备的持续增长主要是受外汇投资流入强劲、海外汇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lastRenderedPageBreak/>
        <w:t>款和旅游收入增加等多重因素推动所致。</w:t>
      </w:r>
    </w:p>
    <w:p w:rsidR="00694522" w:rsidRDefault="00000000">
      <w:pPr>
        <w:spacing w:line="500" w:lineRule="exact"/>
        <w:ind w:firstLineChars="200" w:firstLine="562"/>
        <w:rPr>
          <w:rFonts w:ascii="Times New Roman" w:eastAsia="仿宋_GB2312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仿宋_GB2312" w:hAnsi="Times New Roman"/>
          <w:b/>
          <w:bCs/>
          <w:color w:val="000000" w:themeColor="text1"/>
          <w:sz w:val="28"/>
          <w:szCs w:val="28"/>
        </w:rPr>
        <w:t>二、</w:t>
      </w:r>
      <w:r>
        <w:rPr>
          <w:rFonts w:ascii="Times New Roman" w:eastAsia="仿宋_GB2312" w:hAnsi="Times New Roman" w:hint="eastAsia"/>
          <w:b/>
          <w:bCs/>
          <w:color w:val="000000" w:themeColor="text1"/>
          <w:sz w:val="28"/>
          <w:szCs w:val="28"/>
        </w:rPr>
        <w:t>金融市场运行情况</w:t>
      </w:r>
    </w:p>
    <w:p w:rsidR="00694522" w:rsidRDefault="00000000">
      <w:pPr>
        <w:spacing w:line="500" w:lineRule="exact"/>
        <w:ind w:firstLineChars="200" w:firstLine="562"/>
        <w:rPr>
          <w:rFonts w:ascii="Times New Roman" w:eastAsia="仿宋_GB2312" w:hAnsi="Times New Roman"/>
          <w:color w:val="000000" w:themeColor="text1"/>
          <w:sz w:val="28"/>
          <w:szCs w:val="28"/>
        </w:rPr>
      </w:pPr>
      <w:r>
        <w:rPr>
          <w:rFonts w:ascii="Times New Roman" w:eastAsia="仿宋_GB2312" w:hAnsi="Times New Roman"/>
          <w:b/>
          <w:bCs/>
          <w:color w:val="000000" w:themeColor="text1"/>
          <w:sz w:val="28"/>
          <w:szCs w:val="28"/>
        </w:rPr>
        <w:t>股票指数上涨。</w:t>
      </w:r>
      <w:r>
        <w:rPr>
          <w:rFonts w:ascii="Times New Roman" w:eastAsia="仿宋_GB2312" w:hAnsi="Times New Roman"/>
          <w:color w:val="000000" w:themeColor="text1"/>
          <w:sz w:val="28"/>
          <w:szCs w:val="28"/>
        </w:rPr>
        <w:t>受经济改革和外部资金支持，</w:t>
      </w:r>
      <w:r>
        <w:rPr>
          <w:rFonts w:ascii="Times New Roman" w:eastAsia="仿宋_GB2312" w:hAnsi="Times New Roman"/>
          <w:color w:val="000000" w:themeColor="text1"/>
          <w:sz w:val="28"/>
          <w:szCs w:val="28"/>
        </w:rPr>
        <w:t>2025</w:t>
      </w:r>
      <w:r>
        <w:rPr>
          <w:rFonts w:ascii="Times New Roman" w:eastAsia="仿宋_GB2312" w:hAnsi="Times New Roman"/>
          <w:color w:val="000000" w:themeColor="text1"/>
          <w:sz w:val="28"/>
          <w:szCs w:val="28"/>
        </w:rPr>
        <w:t>年以来，证券交易市场整体表现良好，主要指数全面上涨。</w:t>
      </w:r>
      <w:r>
        <w:rPr>
          <w:rFonts w:ascii="Times New Roman" w:eastAsia="仿宋_GB2312" w:hAnsi="Times New Roman"/>
          <w:color w:val="0070C0"/>
          <w:sz w:val="28"/>
          <w:szCs w:val="28"/>
        </w:rPr>
        <w:t>截至</w:t>
      </w:r>
      <w:r>
        <w:rPr>
          <w:rFonts w:ascii="Times New Roman" w:eastAsia="仿宋_GB2312" w:hAnsi="Times New Roman"/>
          <w:color w:val="0070C0"/>
          <w:sz w:val="28"/>
          <w:szCs w:val="28"/>
        </w:rPr>
        <w:t>2025</w:t>
      </w:r>
      <w:r>
        <w:rPr>
          <w:rFonts w:ascii="Times New Roman" w:eastAsia="仿宋_GB2312" w:hAnsi="Times New Roman"/>
          <w:color w:val="0070C0"/>
          <w:sz w:val="28"/>
          <w:szCs w:val="28"/>
        </w:rPr>
        <w:t>年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11</w:t>
      </w:r>
      <w:r>
        <w:rPr>
          <w:rFonts w:ascii="Times New Roman" w:eastAsia="仿宋_GB2312" w:hAnsi="Times New Roman"/>
          <w:color w:val="0070C0"/>
          <w:sz w:val="28"/>
          <w:szCs w:val="28"/>
        </w:rPr>
        <w:t>月</w:t>
      </w:r>
      <w:r>
        <w:rPr>
          <w:rFonts w:ascii="Times New Roman" w:eastAsia="仿宋_GB2312" w:hAnsi="Times New Roman"/>
          <w:color w:val="0070C0"/>
          <w:sz w:val="28"/>
          <w:szCs w:val="28"/>
        </w:rPr>
        <w:t>1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2</w:t>
      </w:r>
      <w:r>
        <w:rPr>
          <w:rFonts w:ascii="Times New Roman" w:eastAsia="仿宋_GB2312" w:hAnsi="Times New Roman"/>
          <w:color w:val="0070C0"/>
          <w:sz w:val="28"/>
          <w:szCs w:val="28"/>
        </w:rPr>
        <w:t>日，埃及证券交易所指数收报</w:t>
      </w:r>
      <w:r>
        <w:rPr>
          <w:rFonts w:ascii="Times New Roman" w:eastAsia="仿宋_GB2312" w:hAnsi="Times New Roman"/>
          <w:color w:val="0070C0"/>
          <w:sz w:val="28"/>
          <w:szCs w:val="28"/>
        </w:rPr>
        <w:t>40228.76</w:t>
      </w:r>
      <w:r>
        <w:rPr>
          <w:rFonts w:ascii="Times New Roman" w:eastAsia="仿宋_GB2312" w:hAnsi="Times New Roman"/>
          <w:color w:val="0070C0"/>
          <w:sz w:val="28"/>
          <w:szCs w:val="28"/>
        </w:rPr>
        <w:t>点，较去年同期上涨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27.98</w:t>
      </w:r>
      <w:r>
        <w:rPr>
          <w:rFonts w:ascii="Times New Roman" w:eastAsia="仿宋_GB2312" w:hAnsi="Times New Roman"/>
          <w:color w:val="0070C0"/>
          <w:sz w:val="28"/>
          <w:szCs w:val="28"/>
        </w:rPr>
        <w:t>%</w:t>
      </w:r>
      <w:r>
        <w:rPr>
          <w:rFonts w:ascii="Times New Roman" w:eastAsia="仿宋_GB2312" w:hAnsi="Times New Roman"/>
          <w:color w:val="0070C0"/>
          <w:sz w:val="28"/>
          <w:szCs w:val="28"/>
        </w:rPr>
        <w:t>。</w:t>
      </w:r>
    </w:p>
    <w:p w:rsidR="00694522" w:rsidRDefault="00000000">
      <w:pPr>
        <w:spacing w:line="500" w:lineRule="exact"/>
        <w:ind w:firstLineChars="200" w:firstLine="562"/>
        <w:rPr>
          <w:rFonts w:ascii="Times New Roman" w:eastAsia="仿宋_GB2312" w:hAnsi="Times New Roman"/>
          <w:color w:val="000000" w:themeColor="text1"/>
          <w:sz w:val="28"/>
          <w:szCs w:val="28"/>
        </w:rPr>
      </w:pPr>
      <w:r>
        <w:rPr>
          <w:rFonts w:ascii="Times New Roman" w:eastAsia="仿宋_GB2312" w:hAnsi="Times New Roman" w:hint="eastAsia"/>
          <w:b/>
          <w:bCs/>
          <w:color w:val="000000" w:themeColor="text1"/>
          <w:sz w:val="28"/>
          <w:szCs w:val="28"/>
        </w:rPr>
        <w:t>国债收益率下降并趋于稳定。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2025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年，埃及国债收益率出现下降。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2024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年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12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月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31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日，埃及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10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年期国债收益率为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25.36%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，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2025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年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11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月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12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日，埃及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10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年期国债收益率仅为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20.11%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，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比年初下降。</w:t>
      </w:r>
    </w:p>
    <w:p w:rsidR="00694522" w:rsidRDefault="00000000">
      <w:pPr>
        <w:spacing w:line="500" w:lineRule="exact"/>
        <w:ind w:firstLineChars="200" w:firstLine="562"/>
        <w:rPr>
          <w:rFonts w:ascii="Times New Roman" w:eastAsia="仿宋_GB2312" w:hAnsi="Times New Roman"/>
          <w:color w:val="000000" w:themeColor="text1"/>
          <w:sz w:val="28"/>
          <w:szCs w:val="28"/>
        </w:rPr>
      </w:pPr>
      <w:r>
        <w:rPr>
          <w:rFonts w:ascii="Times New Roman" w:eastAsia="仿宋_GB2312" w:hAnsi="Times New Roman" w:hint="eastAsia"/>
          <w:b/>
          <w:bCs/>
          <w:color w:val="000000" w:themeColor="text1"/>
          <w:sz w:val="28"/>
          <w:szCs w:val="28"/>
        </w:rPr>
        <w:t>埃及镑</w:t>
      </w:r>
      <w:r>
        <w:rPr>
          <w:rFonts w:ascii="Times New Roman" w:eastAsia="仿宋_GB2312" w:hAnsi="Times New Roman"/>
          <w:b/>
          <w:bCs/>
          <w:color w:val="000000" w:themeColor="text1"/>
          <w:sz w:val="28"/>
          <w:szCs w:val="28"/>
        </w:rPr>
        <w:t>汇率</w:t>
      </w:r>
      <w:r>
        <w:rPr>
          <w:rFonts w:ascii="Times New Roman" w:eastAsia="仿宋_GB2312" w:hAnsi="Times New Roman" w:hint="eastAsia"/>
          <w:b/>
          <w:bCs/>
          <w:color w:val="000000" w:themeColor="text1"/>
          <w:sz w:val="28"/>
          <w:szCs w:val="28"/>
        </w:rPr>
        <w:t>升至近一年新高。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2024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年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3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月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6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日埃及正式放开汇率管制后，汇率于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2024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年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12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月跌破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1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美元兑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50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埃及镑关口。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2025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年前半年，埃及镑兑美元汇率在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49-52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区间震荡波动，自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7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月开始，埃及镑兑美元汇率进入升值区间，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截至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11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月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10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日，埃及镑汇率升至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47.26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埃及镑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/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美元，较去年同期升值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3.9%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。</w:t>
      </w:r>
    </w:p>
    <w:p w:rsidR="00694522" w:rsidRDefault="00000000">
      <w:pPr>
        <w:spacing w:line="500" w:lineRule="exact"/>
        <w:ind w:firstLineChars="200" w:firstLine="562"/>
        <w:rPr>
          <w:rFonts w:ascii="Times New Roman" w:eastAsia="仿宋_GB2312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仿宋_GB2312" w:hAnsi="Times New Roman" w:hint="eastAsia"/>
          <w:b/>
          <w:bCs/>
          <w:color w:val="000000" w:themeColor="text1"/>
          <w:sz w:val="28"/>
          <w:szCs w:val="28"/>
        </w:rPr>
        <w:t>三、宏观经济政策</w:t>
      </w:r>
    </w:p>
    <w:p w:rsidR="00694522" w:rsidRDefault="00000000">
      <w:pPr>
        <w:spacing w:line="500" w:lineRule="exact"/>
        <w:ind w:firstLineChars="200" w:firstLine="562"/>
        <w:rPr>
          <w:rFonts w:ascii="Times New Roman" w:eastAsia="仿宋_GB2312" w:hAnsi="Times New Roman"/>
          <w:color w:val="000000" w:themeColor="text1"/>
          <w:sz w:val="28"/>
          <w:szCs w:val="28"/>
        </w:rPr>
      </w:pPr>
      <w:r>
        <w:rPr>
          <w:rFonts w:ascii="Times New Roman" w:eastAsia="仿宋_GB2312" w:hAnsi="Times New Roman"/>
          <w:b/>
          <w:bCs/>
          <w:color w:val="000000" w:themeColor="text1"/>
          <w:sz w:val="28"/>
          <w:szCs w:val="28"/>
        </w:rPr>
        <w:t>埃及央行持续降息。</w:t>
      </w:r>
      <w:r>
        <w:rPr>
          <w:rFonts w:ascii="Times New Roman" w:eastAsia="仿宋_GB2312" w:hAnsi="Times New Roman"/>
          <w:color w:val="000000" w:themeColor="text1"/>
          <w:sz w:val="28"/>
          <w:szCs w:val="28"/>
        </w:rPr>
        <w:t>埃及央行于</w:t>
      </w:r>
      <w:r>
        <w:rPr>
          <w:rFonts w:ascii="Times New Roman" w:eastAsia="仿宋_GB2312" w:hAnsi="Times New Roman"/>
          <w:color w:val="000000" w:themeColor="text1"/>
          <w:sz w:val="28"/>
          <w:szCs w:val="28"/>
        </w:rPr>
        <w:t>2025</w:t>
      </w:r>
      <w:r>
        <w:rPr>
          <w:rFonts w:ascii="Times New Roman" w:eastAsia="仿宋_GB2312" w:hAnsi="Times New Roman"/>
          <w:color w:val="000000" w:themeColor="text1"/>
          <w:sz w:val="28"/>
          <w:szCs w:val="28"/>
        </w:rPr>
        <w:t>年</w:t>
      </w:r>
      <w:r>
        <w:rPr>
          <w:rFonts w:ascii="Times New Roman" w:eastAsia="仿宋_GB2312" w:hAnsi="Times New Roman"/>
          <w:color w:val="000000" w:themeColor="text1"/>
          <w:sz w:val="28"/>
          <w:szCs w:val="28"/>
        </w:rPr>
        <w:t>10</w:t>
      </w:r>
      <w:r>
        <w:rPr>
          <w:rFonts w:ascii="Times New Roman" w:eastAsia="仿宋_GB2312" w:hAnsi="Times New Roman"/>
          <w:color w:val="000000" w:themeColor="text1"/>
          <w:sz w:val="28"/>
          <w:szCs w:val="28"/>
        </w:rPr>
        <w:t>月</w:t>
      </w:r>
      <w:r>
        <w:rPr>
          <w:rFonts w:ascii="Times New Roman" w:eastAsia="仿宋_GB2312" w:hAnsi="Times New Roman"/>
          <w:color w:val="000000" w:themeColor="text1"/>
          <w:sz w:val="28"/>
          <w:szCs w:val="28"/>
        </w:rPr>
        <w:t>2</w:t>
      </w:r>
      <w:r>
        <w:rPr>
          <w:rFonts w:ascii="Times New Roman" w:eastAsia="仿宋_GB2312" w:hAnsi="Times New Roman"/>
          <w:color w:val="000000" w:themeColor="text1"/>
          <w:sz w:val="28"/>
          <w:szCs w:val="28"/>
        </w:rPr>
        <w:t>日将基准利率下调</w:t>
      </w:r>
      <w:r>
        <w:rPr>
          <w:rFonts w:ascii="Times New Roman" w:eastAsia="仿宋_GB2312" w:hAnsi="Times New Roman"/>
          <w:color w:val="000000" w:themeColor="text1"/>
          <w:sz w:val="28"/>
          <w:szCs w:val="28"/>
        </w:rPr>
        <w:t>100</w:t>
      </w:r>
      <w:r>
        <w:rPr>
          <w:rFonts w:ascii="Times New Roman" w:eastAsia="仿宋_GB2312" w:hAnsi="Times New Roman"/>
          <w:color w:val="000000" w:themeColor="text1"/>
          <w:sz w:val="28"/>
          <w:szCs w:val="28"/>
        </w:rPr>
        <w:t>个基点，隔夜存款利率、隔夜贷款利率和主要操作利率分别降至</w:t>
      </w:r>
      <w:r>
        <w:rPr>
          <w:rFonts w:ascii="Times New Roman" w:eastAsia="仿宋_GB2312" w:hAnsi="Times New Roman"/>
          <w:color w:val="000000" w:themeColor="text1"/>
          <w:sz w:val="28"/>
          <w:szCs w:val="28"/>
        </w:rPr>
        <w:t>21%</w:t>
      </w:r>
      <w:r>
        <w:rPr>
          <w:rFonts w:ascii="Times New Roman" w:eastAsia="仿宋_GB2312" w:hAnsi="Times New Roman"/>
          <w:color w:val="000000" w:themeColor="text1"/>
          <w:sz w:val="28"/>
          <w:szCs w:val="28"/>
        </w:rPr>
        <w:t>、</w:t>
      </w:r>
      <w:r>
        <w:rPr>
          <w:rFonts w:ascii="Times New Roman" w:eastAsia="仿宋_GB2312" w:hAnsi="Times New Roman"/>
          <w:color w:val="000000" w:themeColor="text1"/>
          <w:sz w:val="28"/>
          <w:szCs w:val="28"/>
        </w:rPr>
        <w:t>22%</w:t>
      </w:r>
      <w:r>
        <w:rPr>
          <w:rFonts w:ascii="Times New Roman" w:eastAsia="仿宋_GB2312" w:hAnsi="Times New Roman"/>
          <w:color w:val="000000" w:themeColor="text1"/>
          <w:sz w:val="28"/>
          <w:szCs w:val="28"/>
        </w:rPr>
        <w:t>和</w:t>
      </w:r>
      <w:r>
        <w:rPr>
          <w:rFonts w:ascii="Times New Roman" w:eastAsia="仿宋_GB2312" w:hAnsi="Times New Roman"/>
          <w:color w:val="000000" w:themeColor="text1"/>
          <w:sz w:val="28"/>
          <w:szCs w:val="28"/>
        </w:rPr>
        <w:t>21.5%</w:t>
      </w:r>
      <w:r>
        <w:rPr>
          <w:rFonts w:ascii="Times New Roman" w:eastAsia="仿宋_GB2312" w:hAnsi="Times New Roman"/>
          <w:color w:val="000000" w:themeColor="text1"/>
          <w:sz w:val="28"/>
          <w:szCs w:val="28"/>
        </w:rPr>
        <w:t>，此外，信贷和贴现利率下调</w:t>
      </w:r>
      <w:r>
        <w:rPr>
          <w:rFonts w:ascii="Times New Roman" w:eastAsia="仿宋_GB2312" w:hAnsi="Times New Roman"/>
          <w:color w:val="000000" w:themeColor="text1"/>
          <w:sz w:val="28"/>
          <w:szCs w:val="28"/>
        </w:rPr>
        <w:t>100</w:t>
      </w:r>
      <w:r>
        <w:rPr>
          <w:rFonts w:ascii="Times New Roman" w:eastAsia="仿宋_GB2312" w:hAnsi="Times New Roman"/>
          <w:color w:val="000000" w:themeColor="text1"/>
          <w:sz w:val="28"/>
          <w:szCs w:val="28"/>
        </w:rPr>
        <w:t>个基点至</w:t>
      </w:r>
      <w:r>
        <w:rPr>
          <w:rFonts w:ascii="Times New Roman" w:eastAsia="仿宋_GB2312" w:hAnsi="Times New Roman"/>
          <w:color w:val="000000" w:themeColor="text1"/>
          <w:sz w:val="28"/>
          <w:szCs w:val="28"/>
        </w:rPr>
        <w:t>21.50%</w:t>
      </w:r>
      <w:r>
        <w:rPr>
          <w:rFonts w:ascii="Times New Roman" w:eastAsia="仿宋_GB2312" w:hAnsi="Times New Roman"/>
          <w:color w:val="000000" w:themeColor="text1"/>
          <w:sz w:val="28"/>
          <w:szCs w:val="28"/>
        </w:rPr>
        <w:t>。埃及货币政策委员将将密切关注经济动向，灵活运用政策工具，以确保通胀在</w:t>
      </w:r>
      <w:r>
        <w:rPr>
          <w:rFonts w:ascii="Times New Roman" w:eastAsia="仿宋_GB2312" w:hAnsi="Times New Roman"/>
          <w:color w:val="000000" w:themeColor="text1"/>
          <w:sz w:val="28"/>
          <w:szCs w:val="28"/>
        </w:rPr>
        <w:t>2026</w:t>
      </w:r>
      <w:r>
        <w:rPr>
          <w:rFonts w:ascii="Times New Roman" w:eastAsia="仿宋_GB2312" w:hAnsi="Times New Roman"/>
          <w:color w:val="000000" w:themeColor="text1"/>
          <w:sz w:val="28"/>
          <w:szCs w:val="28"/>
        </w:rPr>
        <w:t>年与</w:t>
      </w:r>
      <w:r>
        <w:rPr>
          <w:rFonts w:ascii="Times New Roman" w:eastAsia="仿宋_GB2312" w:hAnsi="Times New Roman"/>
          <w:color w:val="000000" w:themeColor="text1"/>
          <w:sz w:val="28"/>
          <w:szCs w:val="28"/>
        </w:rPr>
        <w:t>2028</w:t>
      </w:r>
      <w:r>
        <w:rPr>
          <w:rFonts w:ascii="Times New Roman" w:eastAsia="仿宋_GB2312" w:hAnsi="Times New Roman"/>
          <w:color w:val="000000" w:themeColor="text1"/>
          <w:sz w:val="28"/>
          <w:szCs w:val="28"/>
        </w:rPr>
        <w:t>年第四季度分别达成</w:t>
      </w:r>
      <w:r>
        <w:rPr>
          <w:rFonts w:ascii="Times New Roman" w:eastAsia="仿宋_GB2312" w:hAnsi="Times New Roman"/>
          <w:color w:val="000000" w:themeColor="text1"/>
          <w:sz w:val="28"/>
          <w:szCs w:val="28"/>
        </w:rPr>
        <w:t>7%</w:t>
      </w:r>
      <w:r>
        <w:rPr>
          <w:rFonts w:ascii="Times New Roman" w:eastAsia="仿宋_GB2312" w:hAnsi="Times New Roman"/>
          <w:color w:val="000000" w:themeColor="text1"/>
          <w:sz w:val="28"/>
          <w:szCs w:val="28"/>
        </w:rPr>
        <w:t>和</w:t>
      </w:r>
      <w:r>
        <w:rPr>
          <w:rFonts w:ascii="Times New Roman" w:eastAsia="仿宋_GB2312" w:hAnsi="Times New Roman"/>
          <w:color w:val="000000" w:themeColor="text1"/>
          <w:sz w:val="28"/>
          <w:szCs w:val="28"/>
        </w:rPr>
        <w:t>5%</w:t>
      </w:r>
      <w:r>
        <w:rPr>
          <w:rFonts w:ascii="Times New Roman" w:eastAsia="仿宋_GB2312" w:hAnsi="Times New Roman"/>
          <w:color w:val="000000" w:themeColor="text1"/>
          <w:sz w:val="28"/>
          <w:szCs w:val="28"/>
        </w:rPr>
        <w:t>（</w:t>
      </w:r>
      <w:r>
        <w:rPr>
          <w:rFonts w:ascii="Times New Roman" w:eastAsia="仿宋_GB2312" w:hAnsi="Times New Roman"/>
          <w:color w:val="000000" w:themeColor="text1"/>
          <w:sz w:val="28"/>
          <w:szCs w:val="28"/>
        </w:rPr>
        <w:t>2%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区间</w:t>
      </w:r>
      <w:r>
        <w:rPr>
          <w:rFonts w:ascii="Times New Roman" w:eastAsia="仿宋_GB2312" w:hAnsi="Times New Roman"/>
          <w:color w:val="000000" w:themeColor="text1"/>
          <w:sz w:val="28"/>
          <w:szCs w:val="28"/>
        </w:rPr>
        <w:t>）的目标。</w:t>
      </w:r>
    </w:p>
    <w:p w:rsidR="006C46C9" w:rsidRDefault="00000000">
      <w:pPr>
        <w:spacing w:line="500" w:lineRule="exact"/>
        <w:ind w:firstLineChars="200" w:firstLine="562"/>
        <w:rPr>
          <w:rFonts w:ascii="Times New Roman" w:eastAsia="仿宋_GB2312" w:hAnsi="Times New Roman"/>
          <w:color w:val="000000" w:themeColor="text1"/>
          <w:sz w:val="28"/>
          <w:szCs w:val="28"/>
        </w:rPr>
      </w:pPr>
      <w:r>
        <w:rPr>
          <w:rFonts w:ascii="Times New Roman" w:eastAsia="仿宋_GB2312" w:hAnsi="Times New Roman" w:hint="eastAsia"/>
          <w:b/>
          <w:bCs/>
          <w:color w:val="000000" w:themeColor="text1"/>
          <w:sz w:val="28"/>
          <w:szCs w:val="28"/>
        </w:rPr>
        <w:t>税收改革成效显著，财政赤字收窄。</w:t>
      </w:r>
      <w:r>
        <w:rPr>
          <w:rFonts w:ascii="Times New Roman" w:eastAsia="仿宋_GB2312" w:hAnsi="Times New Roman"/>
          <w:color w:val="000000" w:themeColor="text1"/>
          <w:sz w:val="28"/>
          <w:szCs w:val="28"/>
        </w:rPr>
        <w:t>过去五年，埃及政府推行了一系列经济改革，重点优化财政收支结构、拓宽融资渠道，并优先保障社会福利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。</w:t>
      </w:r>
      <w:r>
        <w:rPr>
          <w:rFonts w:ascii="Times New Roman" w:eastAsia="仿宋_GB2312" w:hAnsi="Times New Roman"/>
          <w:color w:val="000000" w:themeColor="text1"/>
          <w:sz w:val="28"/>
          <w:szCs w:val="28"/>
        </w:rPr>
        <w:t>2024/2025</w:t>
      </w:r>
      <w:r>
        <w:rPr>
          <w:rFonts w:ascii="Times New Roman" w:eastAsia="仿宋_GB2312" w:hAnsi="Times New Roman"/>
          <w:color w:val="000000" w:themeColor="text1"/>
          <w:sz w:val="28"/>
          <w:szCs w:val="28"/>
        </w:rPr>
        <w:t>财年（</w:t>
      </w:r>
      <w:r>
        <w:rPr>
          <w:rFonts w:ascii="Times New Roman" w:eastAsia="仿宋_GB2312" w:hAnsi="Times New Roman"/>
          <w:color w:val="000000" w:themeColor="text1"/>
          <w:sz w:val="28"/>
          <w:szCs w:val="28"/>
        </w:rPr>
        <w:t>7</w:t>
      </w:r>
      <w:r>
        <w:rPr>
          <w:rFonts w:ascii="Times New Roman" w:eastAsia="仿宋_GB2312" w:hAnsi="Times New Roman"/>
          <w:color w:val="000000" w:themeColor="text1"/>
          <w:sz w:val="28"/>
          <w:szCs w:val="28"/>
        </w:rPr>
        <w:t>月至</w:t>
      </w:r>
      <w:r>
        <w:rPr>
          <w:rFonts w:ascii="Times New Roman" w:eastAsia="仿宋_GB2312" w:hAnsi="Times New Roman"/>
          <w:color w:val="000000" w:themeColor="text1"/>
          <w:sz w:val="28"/>
          <w:szCs w:val="28"/>
        </w:rPr>
        <w:t>5</w:t>
      </w:r>
      <w:r>
        <w:rPr>
          <w:rFonts w:ascii="Times New Roman" w:eastAsia="仿宋_GB2312" w:hAnsi="Times New Roman"/>
          <w:color w:val="000000" w:themeColor="text1"/>
          <w:sz w:val="28"/>
          <w:szCs w:val="28"/>
        </w:rPr>
        <w:t>月）财政状况明显改善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，其中，</w:t>
      </w:r>
      <w:r>
        <w:rPr>
          <w:rFonts w:ascii="Times New Roman" w:eastAsia="仿宋_GB2312" w:hAnsi="Times New Roman"/>
          <w:color w:val="000000" w:themeColor="text1"/>
          <w:sz w:val="28"/>
          <w:szCs w:val="28"/>
        </w:rPr>
        <w:t>预算赤字占</w:t>
      </w:r>
      <w:r>
        <w:rPr>
          <w:rFonts w:ascii="Times New Roman" w:eastAsia="仿宋_GB2312" w:hAnsi="Times New Roman"/>
          <w:color w:val="000000" w:themeColor="text1"/>
          <w:sz w:val="28"/>
          <w:szCs w:val="28"/>
        </w:rPr>
        <w:t>GDP</w:t>
      </w:r>
      <w:r>
        <w:rPr>
          <w:rFonts w:ascii="Times New Roman" w:eastAsia="仿宋_GB2312" w:hAnsi="Times New Roman"/>
          <w:color w:val="000000" w:themeColor="text1"/>
          <w:sz w:val="28"/>
          <w:szCs w:val="28"/>
        </w:rPr>
        <w:t>比例从上年同期的</w:t>
      </w:r>
      <w:r>
        <w:rPr>
          <w:rFonts w:ascii="Times New Roman" w:eastAsia="仿宋_GB2312" w:hAnsi="Times New Roman"/>
          <w:color w:val="000000" w:themeColor="text1"/>
          <w:sz w:val="28"/>
          <w:szCs w:val="28"/>
        </w:rPr>
        <w:t>7.3%</w:t>
      </w:r>
      <w:r>
        <w:rPr>
          <w:rFonts w:ascii="Times New Roman" w:eastAsia="仿宋_GB2312" w:hAnsi="Times New Roman"/>
          <w:color w:val="000000" w:themeColor="text1"/>
          <w:sz w:val="28"/>
          <w:szCs w:val="28"/>
        </w:rPr>
        <w:t>降至</w:t>
      </w:r>
      <w:r>
        <w:rPr>
          <w:rFonts w:ascii="Times New Roman" w:eastAsia="仿宋_GB2312" w:hAnsi="Times New Roman"/>
          <w:color w:val="000000" w:themeColor="text1"/>
          <w:sz w:val="28"/>
          <w:szCs w:val="28"/>
        </w:rPr>
        <w:t>6.9%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。</w:t>
      </w:r>
    </w:p>
    <w:p w:rsidR="00694522" w:rsidRDefault="006C46C9">
      <w:pPr>
        <w:spacing w:line="500" w:lineRule="exact"/>
        <w:ind w:firstLineChars="200" w:firstLine="562"/>
        <w:rPr>
          <w:rFonts w:ascii="Times New Roman" w:eastAsia="仿宋_GB2312" w:hAnsi="Times New Roman"/>
          <w:color w:val="000000" w:themeColor="text1"/>
          <w:sz w:val="28"/>
          <w:szCs w:val="28"/>
        </w:rPr>
      </w:pPr>
      <w:r w:rsidRPr="006C46C9">
        <w:rPr>
          <w:rFonts w:ascii="Times New Roman" w:eastAsia="仿宋_GB2312" w:hAnsi="Times New Roman" w:hint="eastAsia"/>
          <w:b/>
          <w:bCs/>
          <w:color w:val="0070C0"/>
          <w:sz w:val="28"/>
          <w:szCs w:val="28"/>
        </w:rPr>
        <w:t>持续推动财政刺激计划。</w:t>
      </w:r>
      <w:r w:rsidR="009174AE" w:rsidRPr="009174AE">
        <w:rPr>
          <w:rFonts w:ascii="Times New Roman" w:eastAsia="仿宋_GB2312" w:hAnsi="Times New Roman" w:hint="eastAsia"/>
          <w:color w:val="0070C0"/>
          <w:sz w:val="28"/>
          <w:szCs w:val="28"/>
        </w:rPr>
        <w:t>埃及政府</w:t>
      </w:r>
      <w:r w:rsidR="009174AE" w:rsidRPr="009174AE">
        <w:rPr>
          <w:rFonts w:ascii="Times New Roman" w:eastAsia="仿宋_GB2312" w:hAnsi="Times New Roman" w:hint="eastAsia"/>
          <w:color w:val="0070C0"/>
          <w:sz w:val="28"/>
          <w:szCs w:val="28"/>
        </w:rPr>
        <w:t>计划在下个财政年度启动中期财政框架</w:t>
      </w:r>
      <w:r w:rsidR="009174AE" w:rsidRPr="009174AE">
        <w:rPr>
          <w:rFonts w:ascii="Times New Roman" w:eastAsia="仿宋_GB2312" w:hAnsi="Times New Roman" w:hint="eastAsia"/>
          <w:color w:val="0070C0"/>
          <w:sz w:val="28"/>
          <w:szCs w:val="28"/>
        </w:rPr>
        <w:t>，简化税制并扩大税基，</w:t>
      </w:r>
      <w:r w:rsidR="009174AE">
        <w:rPr>
          <w:rFonts w:ascii="Times New Roman" w:eastAsia="仿宋_GB2312" w:hAnsi="Times New Roman" w:hint="eastAsia"/>
          <w:color w:val="0070C0"/>
          <w:sz w:val="28"/>
          <w:szCs w:val="28"/>
        </w:rPr>
        <w:t>并</w:t>
      </w:r>
      <w:r w:rsidR="009174AE" w:rsidRPr="009174AE">
        <w:rPr>
          <w:rFonts w:ascii="Times New Roman" w:eastAsia="仿宋_GB2312" w:hAnsi="Times New Roman" w:hint="eastAsia"/>
          <w:color w:val="0070C0"/>
          <w:sz w:val="28"/>
          <w:szCs w:val="28"/>
        </w:rPr>
        <w:t>于本月提交</w:t>
      </w:r>
      <w:r w:rsidR="009174AE" w:rsidRPr="009174AE">
        <w:rPr>
          <w:rFonts w:ascii="Times New Roman" w:eastAsia="仿宋_GB2312" w:hAnsi="Times New Roman" w:hint="eastAsia"/>
          <w:color w:val="0070C0"/>
          <w:sz w:val="28"/>
          <w:szCs w:val="28"/>
        </w:rPr>
        <w:t>第二轮税收激励方案审议</w:t>
      </w:r>
      <w:r w:rsidR="009174AE" w:rsidRPr="009174AE">
        <w:rPr>
          <w:rFonts w:ascii="Times New Roman" w:eastAsia="仿宋_GB2312" w:hAnsi="Times New Roman" w:hint="eastAsia"/>
          <w:color w:val="0070C0"/>
          <w:sz w:val="28"/>
          <w:szCs w:val="28"/>
        </w:rPr>
        <w:t>，</w:t>
      </w:r>
      <w:r w:rsidR="009174AE" w:rsidRPr="009174AE">
        <w:rPr>
          <w:rFonts w:ascii="Times New Roman" w:eastAsia="仿宋_GB2312" w:hAnsi="Times New Roman" w:hint="eastAsia"/>
          <w:color w:val="0070C0"/>
          <w:sz w:val="28"/>
          <w:szCs w:val="28"/>
        </w:rPr>
        <w:t>刺激资本市场和上市公司，并改进纳税人的增值税退税机制。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lastRenderedPageBreak/>
        <w:t>埃及财政部</w:t>
      </w:r>
      <w:r w:rsidRPr="006C46C9">
        <w:rPr>
          <w:rFonts w:ascii="Times New Roman" w:eastAsia="仿宋_GB2312" w:hAnsi="Times New Roman" w:hint="eastAsia"/>
          <w:color w:val="0070C0"/>
          <w:sz w:val="28"/>
          <w:szCs w:val="28"/>
        </w:rPr>
        <w:t>已启动总额</w:t>
      </w:r>
      <w:r w:rsidRPr="006C46C9">
        <w:rPr>
          <w:rFonts w:ascii="Times New Roman" w:eastAsia="仿宋_GB2312" w:hAnsi="Times New Roman" w:hint="eastAsia"/>
          <w:color w:val="0070C0"/>
          <w:sz w:val="28"/>
          <w:szCs w:val="28"/>
        </w:rPr>
        <w:t>1200</w:t>
      </w:r>
      <w:r w:rsidRPr="006C46C9">
        <w:rPr>
          <w:rFonts w:ascii="Times New Roman" w:eastAsia="仿宋_GB2312" w:hAnsi="Times New Roman" w:hint="eastAsia"/>
          <w:color w:val="0070C0"/>
          <w:sz w:val="28"/>
          <w:szCs w:val="28"/>
        </w:rPr>
        <w:t>亿埃镑的产业扶持计划，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和</w:t>
      </w:r>
      <w:r w:rsidRPr="006C46C9">
        <w:rPr>
          <w:rFonts w:ascii="Times New Roman" w:eastAsia="仿宋_GB2312" w:hAnsi="Times New Roman" w:hint="eastAsia"/>
          <w:color w:val="0070C0"/>
          <w:sz w:val="28"/>
          <w:szCs w:val="28"/>
        </w:rPr>
        <w:t>500</w:t>
      </w:r>
      <w:r w:rsidRPr="006C46C9">
        <w:rPr>
          <w:rFonts w:ascii="Times New Roman" w:eastAsia="仿宋_GB2312" w:hAnsi="Times New Roman" w:hint="eastAsia"/>
          <w:color w:val="0070C0"/>
          <w:sz w:val="28"/>
          <w:szCs w:val="28"/>
        </w:rPr>
        <w:t>亿埃镑旅游业振兴计划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。</w:t>
      </w:r>
    </w:p>
    <w:p w:rsidR="006C46C9" w:rsidRPr="0050527F" w:rsidRDefault="006C46C9" w:rsidP="006C46C9">
      <w:pPr>
        <w:spacing w:line="500" w:lineRule="exact"/>
        <w:ind w:firstLineChars="200" w:firstLine="562"/>
        <w:rPr>
          <w:rFonts w:ascii="Times New Roman" w:eastAsia="仿宋_GB2312" w:hAnsi="Times New Roman" w:hint="eastAsia"/>
          <w:color w:val="0070C0"/>
          <w:sz w:val="28"/>
          <w:szCs w:val="28"/>
        </w:rPr>
      </w:pPr>
      <w:r w:rsidRPr="00DA6A6F">
        <w:rPr>
          <w:rFonts w:ascii="Times New Roman" w:eastAsia="仿宋_GB2312" w:hAnsi="Times New Roman" w:hint="eastAsia"/>
          <w:b/>
          <w:bCs/>
          <w:color w:val="0070C0"/>
          <w:sz w:val="28"/>
          <w:szCs w:val="28"/>
        </w:rPr>
        <w:t>发行主权伊斯兰债券</w:t>
      </w:r>
      <w:r>
        <w:rPr>
          <w:rFonts w:ascii="Times New Roman" w:eastAsia="仿宋_GB2312" w:hAnsi="Times New Roman" w:hint="eastAsia"/>
          <w:b/>
          <w:bCs/>
          <w:color w:val="0070C0"/>
          <w:sz w:val="28"/>
          <w:szCs w:val="28"/>
        </w:rPr>
        <w:t>。</w:t>
      </w:r>
      <w:r w:rsidRPr="00DA6A6F">
        <w:rPr>
          <w:rFonts w:ascii="Times New Roman" w:eastAsia="仿宋_GB2312" w:hAnsi="Times New Roman" w:hint="eastAsia"/>
          <w:color w:val="0070C0"/>
          <w:sz w:val="28"/>
          <w:szCs w:val="28"/>
        </w:rPr>
        <w:t>CBE</w:t>
      </w:r>
      <w:r w:rsidRPr="00DA6A6F">
        <w:rPr>
          <w:rFonts w:ascii="Times New Roman" w:eastAsia="仿宋_GB2312" w:hAnsi="Times New Roman" w:hint="eastAsia"/>
          <w:color w:val="0070C0"/>
          <w:sz w:val="28"/>
          <w:szCs w:val="28"/>
        </w:rPr>
        <w:t>上调</w:t>
      </w:r>
      <w:r w:rsidRPr="00DA6A6F">
        <w:rPr>
          <w:rFonts w:ascii="Times New Roman" w:eastAsia="仿宋_GB2312" w:hAnsi="Times New Roman" w:hint="eastAsia"/>
          <w:color w:val="0070C0"/>
          <w:sz w:val="28"/>
          <w:szCs w:val="28"/>
        </w:rPr>
        <w:t>2026</w:t>
      </w:r>
      <w:r w:rsidRPr="00DA6A6F">
        <w:rPr>
          <w:rFonts w:ascii="Times New Roman" w:eastAsia="仿宋_GB2312" w:hAnsi="Times New Roman" w:hint="eastAsia"/>
          <w:color w:val="0070C0"/>
          <w:sz w:val="28"/>
          <w:szCs w:val="28"/>
        </w:rPr>
        <w:t>年埃及外债偿付额预测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值</w:t>
      </w:r>
      <w:r w:rsidRPr="00DA6A6F">
        <w:rPr>
          <w:rFonts w:ascii="Times New Roman" w:eastAsia="仿宋_GB2312" w:hAnsi="Times New Roman" w:hint="eastAsia"/>
          <w:color w:val="0070C0"/>
          <w:sz w:val="28"/>
          <w:szCs w:val="28"/>
        </w:rPr>
        <w:t>13</w:t>
      </w:r>
      <w:r w:rsidRPr="00DA6A6F">
        <w:rPr>
          <w:rFonts w:ascii="Times New Roman" w:eastAsia="仿宋_GB2312" w:hAnsi="Times New Roman" w:hint="eastAsia"/>
          <w:color w:val="0070C0"/>
          <w:sz w:val="28"/>
          <w:szCs w:val="28"/>
        </w:rPr>
        <w:t>亿美元，</w:t>
      </w:r>
      <w:r w:rsidRPr="00DA6A6F">
        <w:rPr>
          <w:rFonts w:ascii="Times New Roman" w:eastAsia="仿宋_GB2312" w:hAnsi="Times New Roman" w:hint="eastAsia"/>
          <w:color w:val="0070C0"/>
          <w:sz w:val="28"/>
          <w:szCs w:val="28"/>
        </w:rPr>
        <w:t>IMF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预计埃及</w:t>
      </w:r>
      <w:r w:rsidRPr="00DA6A6F">
        <w:rPr>
          <w:rFonts w:ascii="Times New Roman" w:eastAsia="仿宋_GB2312" w:hAnsi="Times New Roman" w:hint="eastAsia"/>
          <w:color w:val="0070C0"/>
          <w:sz w:val="28"/>
          <w:szCs w:val="28"/>
        </w:rPr>
        <w:t>外债融资需求将在未来两个财年持续攀升。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11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月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4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日，埃及政府首次</w:t>
      </w:r>
      <w:r w:rsidRPr="00DA6A6F">
        <w:rPr>
          <w:rFonts w:ascii="Times New Roman" w:eastAsia="仿宋_GB2312" w:hAnsi="Times New Roman" w:hint="eastAsia"/>
          <w:color w:val="0070C0"/>
          <w:sz w:val="28"/>
          <w:szCs w:val="28"/>
        </w:rPr>
        <w:t>在当地市场发行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30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亿埃镑的</w:t>
      </w:r>
      <w:r w:rsidRPr="00DA6A6F">
        <w:rPr>
          <w:rFonts w:ascii="Times New Roman" w:eastAsia="仿宋_GB2312" w:hAnsi="Times New Roman" w:hint="eastAsia"/>
          <w:color w:val="0070C0"/>
          <w:sz w:val="28"/>
          <w:szCs w:val="28"/>
        </w:rPr>
        <w:t>主权伊斯兰债券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以降低政府融资成本。</w:t>
      </w:r>
    </w:p>
    <w:p w:rsidR="003A4F12" w:rsidRDefault="00C42E7E" w:rsidP="0050527F">
      <w:pPr>
        <w:spacing w:line="500" w:lineRule="exact"/>
        <w:ind w:firstLineChars="200" w:firstLine="562"/>
        <w:rPr>
          <w:rFonts w:ascii="Times New Roman" w:eastAsia="仿宋_GB2312" w:hAnsi="Times New Roman"/>
          <w:color w:val="0070C0"/>
          <w:sz w:val="28"/>
          <w:szCs w:val="28"/>
        </w:rPr>
      </w:pPr>
      <w:r w:rsidRPr="00C42E7E">
        <w:rPr>
          <w:rFonts w:ascii="Times New Roman" w:eastAsia="仿宋_GB2312" w:hAnsi="Times New Roman" w:hint="eastAsia"/>
          <w:b/>
          <w:bCs/>
          <w:color w:val="0070C0"/>
          <w:sz w:val="28"/>
          <w:szCs w:val="28"/>
        </w:rPr>
        <w:t>上调工资和燃油价格水平。</w:t>
      </w:r>
      <w:r w:rsidR="0050527F">
        <w:rPr>
          <w:rFonts w:ascii="Times New Roman" w:eastAsia="仿宋_GB2312" w:hAnsi="Times New Roman" w:hint="eastAsia"/>
          <w:color w:val="0070C0"/>
          <w:sz w:val="28"/>
          <w:szCs w:val="28"/>
        </w:rPr>
        <w:t>为</w:t>
      </w:r>
      <w:r w:rsidR="0050527F" w:rsidRPr="0050527F">
        <w:rPr>
          <w:rFonts w:ascii="Times New Roman" w:eastAsia="仿宋_GB2312" w:hAnsi="Times New Roman"/>
          <w:color w:val="0070C0"/>
          <w:sz w:val="28"/>
          <w:szCs w:val="28"/>
        </w:rPr>
        <w:t>提高生活水平、增强市民购买力</w:t>
      </w:r>
      <w:r w:rsidR="0050527F">
        <w:rPr>
          <w:rFonts w:ascii="Times New Roman" w:eastAsia="仿宋_GB2312" w:hAnsi="Times New Roman" w:hint="eastAsia"/>
          <w:color w:val="0070C0"/>
          <w:sz w:val="28"/>
          <w:szCs w:val="28"/>
        </w:rPr>
        <w:t>，</w:t>
      </w:r>
      <w:r w:rsidR="0050527F">
        <w:rPr>
          <w:rFonts w:ascii="Times New Roman" w:eastAsia="仿宋_GB2312" w:hAnsi="Times New Roman" w:hint="eastAsia"/>
          <w:color w:val="0070C0"/>
          <w:sz w:val="28"/>
          <w:szCs w:val="28"/>
        </w:rPr>
        <w:t>3</w:t>
      </w:r>
      <w:r w:rsidR="0050527F">
        <w:rPr>
          <w:rFonts w:ascii="Times New Roman" w:eastAsia="仿宋_GB2312" w:hAnsi="Times New Roman" w:hint="eastAsia"/>
          <w:color w:val="0070C0"/>
          <w:sz w:val="28"/>
          <w:szCs w:val="28"/>
        </w:rPr>
        <w:t>月</w:t>
      </w:r>
      <w:r w:rsidR="0050527F">
        <w:rPr>
          <w:rFonts w:ascii="Times New Roman" w:eastAsia="仿宋_GB2312" w:hAnsi="Times New Roman" w:hint="eastAsia"/>
          <w:color w:val="0070C0"/>
          <w:sz w:val="28"/>
          <w:szCs w:val="28"/>
        </w:rPr>
        <w:t>1</w:t>
      </w:r>
      <w:r w:rsidR="0050527F">
        <w:rPr>
          <w:rFonts w:ascii="Times New Roman" w:eastAsia="仿宋_GB2312" w:hAnsi="Times New Roman" w:hint="eastAsia"/>
          <w:color w:val="0070C0"/>
          <w:sz w:val="28"/>
          <w:szCs w:val="28"/>
        </w:rPr>
        <w:t>日，</w:t>
      </w:r>
      <w:r w:rsidR="0050527F" w:rsidRPr="0050527F">
        <w:rPr>
          <w:rFonts w:ascii="Times New Roman" w:eastAsia="仿宋_GB2312" w:hAnsi="Times New Roman" w:hint="eastAsia"/>
          <w:color w:val="0070C0"/>
          <w:sz w:val="28"/>
          <w:szCs w:val="28"/>
        </w:rPr>
        <w:t>埃及国家工资委员会（</w:t>
      </w:r>
      <w:r w:rsidR="0050527F" w:rsidRPr="0050527F">
        <w:rPr>
          <w:rFonts w:ascii="Times New Roman" w:eastAsia="仿宋_GB2312" w:hAnsi="Times New Roman" w:hint="eastAsia"/>
          <w:color w:val="0070C0"/>
          <w:sz w:val="28"/>
          <w:szCs w:val="28"/>
        </w:rPr>
        <w:t>NCW</w:t>
      </w:r>
      <w:r w:rsidR="0050527F" w:rsidRPr="0050527F">
        <w:rPr>
          <w:rFonts w:ascii="Times New Roman" w:eastAsia="仿宋_GB2312" w:hAnsi="Times New Roman" w:hint="eastAsia"/>
          <w:color w:val="0070C0"/>
          <w:sz w:val="28"/>
          <w:szCs w:val="28"/>
        </w:rPr>
        <w:t>）将公私部门员工的最低月薪从</w:t>
      </w:r>
      <w:r w:rsidR="0050527F" w:rsidRPr="0050527F">
        <w:rPr>
          <w:rFonts w:ascii="Times New Roman" w:eastAsia="仿宋_GB2312" w:hAnsi="Times New Roman" w:hint="eastAsia"/>
          <w:color w:val="0070C0"/>
          <w:sz w:val="28"/>
          <w:szCs w:val="28"/>
        </w:rPr>
        <w:t>6000</w:t>
      </w:r>
      <w:r w:rsidR="0050527F" w:rsidRPr="0050527F">
        <w:rPr>
          <w:rFonts w:ascii="Times New Roman" w:eastAsia="仿宋_GB2312" w:hAnsi="Times New Roman" w:hint="eastAsia"/>
          <w:color w:val="0070C0"/>
          <w:sz w:val="28"/>
          <w:szCs w:val="28"/>
        </w:rPr>
        <w:t>埃镑（</w:t>
      </w:r>
      <w:r w:rsidR="0050527F" w:rsidRPr="0050527F">
        <w:rPr>
          <w:rFonts w:ascii="Times New Roman" w:eastAsia="仿宋_GB2312" w:hAnsi="Times New Roman" w:hint="eastAsia"/>
          <w:color w:val="0070C0"/>
          <w:sz w:val="28"/>
          <w:szCs w:val="28"/>
        </w:rPr>
        <w:t>118.58</w:t>
      </w:r>
      <w:r w:rsidR="0050527F" w:rsidRPr="0050527F">
        <w:rPr>
          <w:rFonts w:ascii="Times New Roman" w:eastAsia="仿宋_GB2312" w:hAnsi="Times New Roman" w:hint="eastAsia"/>
          <w:color w:val="0070C0"/>
          <w:sz w:val="28"/>
          <w:szCs w:val="28"/>
        </w:rPr>
        <w:t>美元）上调至</w:t>
      </w:r>
      <w:r w:rsidR="0050527F" w:rsidRPr="0050527F">
        <w:rPr>
          <w:rFonts w:ascii="Times New Roman" w:eastAsia="仿宋_GB2312" w:hAnsi="Times New Roman" w:hint="eastAsia"/>
          <w:color w:val="0070C0"/>
          <w:sz w:val="28"/>
          <w:szCs w:val="28"/>
        </w:rPr>
        <w:t>7000</w:t>
      </w:r>
      <w:r w:rsidR="0050527F" w:rsidRPr="0050527F">
        <w:rPr>
          <w:rFonts w:ascii="Times New Roman" w:eastAsia="仿宋_GB2312" w:hAnsi="Times New Roman" w:hint="eastAsia"/>
          <w:color w:val="0070C0"/>
          <w:sz w:val="28"/>
          <w:szCs w:val="28"/>
        </w:rPr>
        <w:t>埃镑（</w:t>
      </w:r>
      <w:r w:rsidR="0050527F" w:rsidRPr="0050527F">
        <w:rPr>
          <w:rFonts w:ascii="Times New Roman" w:eastAsia="仿宋_GB2312" w:hAnsi="Times New Roman" w:hint="eastAsia"/>
          <w:color w:val="0070C0"/>
          <w:sz w:val="28"/>
          <w:szCs w:val="28"/>
        </w:rPr>
        <w:t>138</w:t>
      </w:r>
      <w:r w:rsidR="0050527F" w:rsidRPr="0050527F">
        <w:rPr>
          <w:rFonts w:ascii="Times New Roman" w:eastAsia="仿宋_GB2312" w:hAnsi="Times New Roman" w:hint="eastAsia"/>
          <w:color w:val="0070C0"/>
          <w:sz w:val="28"/>
          <w:szCs w:val="28"/>
        </w:rPr>
        <w:t>美元）。</w:t>
      </w:r>
      <w:r w:rsidR="003A4F12" w:rsidRPr="0050527F">
        <w:rPr>
          <w:rFonts w:ascii="Times New Roman" w:eastAsia="仿宋_GB2312" w:hAnsi="Times New Roman" w:hint="eastAsia"/>
          <w:color w:val="0070C0"/>
          <w:sz w:val="28"/>
          <w:szCs w:val="28"/>
        </w:rPr>
        <w:t>为</w:t>
      </w:r>
      <w:r w:rsidR="003A4F12" w:rsidRPr="0050527F">
        <w:rPr>
          <w:rFonts w:ascii="Times New Roman" w:eastAsia="仿宋_GB2312" w:hAnsi="Times New Roman" w:hint="eastAsia"/>
          <w:color w:val="0070C0"/>
          <w:sz w:val="28"/>
          <w:szCs w:val="28"/>
        </w:rPr>
        <w:t>缩小石油产品销售价格与其高生产和进口成本之间的差距</w:t>
      </w:r>
      <w:r w:rsidR="003A4F12" w:rsidRPr="0050527F">
        <w:rPr>
          <w:rFonts w:ascii="Times New Roman" w:eastAsia="仿宋_GB2312" w:hAnsi="Times New Roman" w:hint="eastAsia"/>
          <w:color w:val="0070C0"/>
          <w:sz w:val="28"/>
          <w:szCs w:val="28"/>
        </w:rPr>
        <w:t>，</w:t>
      </w:r>
      <w:r w:rsidR="003A4F12" w:rsidRPr="0050527F">
        <w:rPr>
          <w:rFonts w:ascii="Times New Roman" w:eastAsia="仿宋_GB2312" w:hAnsi="Times New Roman" w:hint="eastAsia"/>
          <w:color w:val="0070C0"/>
          <w:sz w:val="28"/>
          <w:szCs w:val="28"/>
        </w:rPr>
        <w:t>10</w:t>
      </w:r>
      <w:r w:rsidR="003A4F12" w:rsidRPr="0050527F">
        <w:rPr>
          <w:rFonts w:ascii="Times New Roman" w:eastAsia="仿宋_GB2312" w:hAnsi="Times New Roman" w:hint="eastAsia"/>
          <w:color w:val="0070C0"/>
          <w:sz w:val="28"/>
          <w:szCs w:val="28"/>
        </w:rPr>
        <w:t>月</w:t>
      </w:r>
      <w:r w:rsidR="003A4F12" w:rsidRPr="0050527F">
        <w:rPr>
          <w:rFonts w:ascii="Times New Roman" w:eastAsia="仿宋_GB2312" w:hAnsi="Times New Roman" w:hint="eastAsia"/>
          <w:color w:val="0070C0"/>
          <w:sz w:val="28"/>
          <w:szCs w:val="28"/>
        </w:rPr>
        <w:t>17</w:t>
      </w:r>
      <w:r w:rsidR="003A4F12" w:rsidRPr="0050527F">
        <w:rPr>
          <w:rFonts w:ascii="Times New Roman" w:eastAsia="仿宋_GB2312" w:hAnsi="Times New Roman" w:hint="eastAsia"/>
          <w:color w:val="0070C0"/>
          <w:sz w:val="28"/>
          <w:szCs w:val="28"/>
        </w:rPr>
        <w:t>日，埃及政府</w:t>
      </w:r>
      <w:r>
        <w:rPr>
          <w:rFonts w:ascii="Times New Roman" w:eastAsia="仿宋_GB2312" w:hAnsi="Times New Roman" w:hint="eastAsia"/>
          <w:color w:val="0070C0"/>
          <w:sz w:val="28"/>
          <w:szCs w:val="28"/>
        </w:rPr>
        <w:t>年内第二次</w:t>
      </w:r>
      <w:r w:rsidR="003A4F12" w:rsidRPr="0050527F">
        <w:rPr>
          <w:rFonts w:ascii="Times New Roman" w:eastAsia="仿宋_GB2312" w:hAnsi="Times New Roman" w:hint="eastAsia"/>
          <w:color w:val="0070C0"/>
          <w:sz w:val="28"/>
          <w:szCs w:val="28"/>
        </w:rPr>
        <w:t>上调燃油价格，涨幅约</w:t>
      </w:r>
      <w:r w:rsidR="003A4F12" w:rsidRPr="0050527F">
        <w:rPr>
          <w:rFonts w:ascii="Times New Roman" w:eastAsia="仿宋_GB2312" w:hAnsi="Times New Roman" w:hint="eastAsia"/>
          <w:color w:val="0070C0"/>
          <w:sz w:val="28"/>
          <w:szCs w:val="28"/>
        </w:rPr>
        <w:t>12%</w:t>
      </w:r>
      <w:r w:rsidR="0050527F">
        <w:rPr>
          <w:rFonts w:ascii="Times New Roman" w:eastAsia="仿宋_GB2312" w:hAnsi="Times New Roman" w:hint="eastAsia"/>
          <w:color w:val="0070C0"/>
          <w:sz w:val="28"/>
          <w:szCs w:val="28"/>
        </w:rPr>
        <w:t>，</w:t>
      </w:r>
      <w:r w:rsidR="0050527F" w:rsidRPr="0050527F">
        <w:rPr>
          <w:rFonts w:ascii="Times New Roman" w:eastAsia="仿宋_GB2312" w:hAnsi="Times New Roman" w:hint="eastAsia"/>
          <w:color w:val="0070C0"/>
          <w:sz w:val="28"/>
          <w:szCs w:val="28"/>
        </w:rPr>
        <w:t>石油部门将继续满负荷运行炼油厂</w:t>
      </w:r>
      <w:r w:rsidR="0050527F">
        <w:rPr>
          <w:rFonts w:ascii="Times New Roman" w:eastAsia="仿宋_GB2312" w:hAnsi="Times New Roman" w:hint="eastAsia"/>
          <w:color w:val="0070C0"/>
          <w:sz w:val="28"/>
          <w:szCs w:val="28"/>
        </w:rPr>
        <w:t>，力求</w:t>
      </w:r>
      <w:r w:rsidR="0050527F" w:rsidRPr="0050527F">
        <w:rPr>
          <w:rFonts w:ascii="Times New Roman" w:eastAsia="仿宋_GB2312" w:hAnsi="Times New Roman" w:hint="eastAsia"/>
          <w:color w:val="0070C0"/>
          <w:sz w:val="28"/>
          <w:szCs w:val="28"/>
        </w:rPr>
        <w:t>提升产量、降低进口支出、稳定成本</w:t>
      </w:r>
      <w:r w:rsidR="0050527F">
        <w:rPr>
          <w:rFonts w:ascii="Times New Roman" w:eastAsia="仿宋_GB2312" w:hAnsi="Times New Roman" w:hint="eastAsia"/>
          <w:color w:val="0070C0"/>
          <w:sz w:val="28"/>
          <w:szCs w:val="28"/>
        </w:rPr>
        <w:t>。</w:t>
      </w:r>
    </w:p>
    <w:p w:rsidR="00694522" w:rsidRDefault="00000000">
      <w:pPr>
        <w:spacing w:line="500" w:lineRule="exact"/>
        <w:ind w:firstLineChars="200" w:firstLine="562"/>
        <w:rPr>
          <w:rFonts w:ascii="Times New Roman" w:eastAsia="仿宋_GB2312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仿宋_GB2312" w:hAnsi="Times New Roman" w:hint="eastAsia"/>
          <w:b/>
          <w:bCs/>
          <w:color w:val="000000" w:themeColor="text1"/>
          <w:sz w:val="28"/>
          <w:szCs w:val="28"/>
        </w:rPr>
        <w:t>四、经济前景与风险分析</w:t>
      </w:r>
    </w:p>
    <w:p w:rsidR="00694522" w:rsidRDefault="00000000">
      <w:pPr>
        <w:spacing w:line="500" w:lineRule="exact"/>
        <w:ind w:firstLineChars="200" w:firstLine="562"/>
        <w:rPr>
          <w:rFonts w:ascii="Times New Roman" w:eastAsia="仿宋_GB2312" w:hAnsi="Times New Roman"/>
          <w:color w:val="000000" w:themeColor="text1"/>
          <w:sz w:val="28"/>
          <w:szCs w:val="28"/>
        </w:rPr>
      </w:pPr>
      <w:r>
        <w:rPr>
          <w:rFonts w:ascii="Times New Roman" w:eastAsia="仿宋_GB2312" w:hAnsi="Times New Roman" w:hint="eastAsia"/>
          <w:b/>
          <w:bCs/>
          <w:color w:val="000000" w:themeColor="text1"/>
          <w:sz w:val="28"/>
          <w:szCs w:val="28"/>
        </w:rPr>
        <w:t>埃及经济复苏明显，国际信心回升。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一是埃及央行最新货币政策委员会声明表示，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2024/2025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财年平均增长率达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4.4%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，远超上一财年的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2.4%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，这主要得益于非石油行业、旅游业和贸易的强劲表现。</w:t>
      </w:r>
      <w:r w:rsidR="006B0A70" w:rsidRPr="000845C8">
        <w:rPr>
          <w:rFonts w:ascii="Times New Roman" w:eastAsia="仿宋_GB2312" w:hAnsi="Times New Roman" w:hint="eastAsia"/>
          <w:color w:val="0070C0"/>
          <w:sz w:val="28"/>
          <w:szCs w:val="28"/>
        </w:rPr>
        <w:t>预计</w:t>
      </w:r>
      <w:r w:rsidR="006B0A70" w:rsidRPr="000845C8">
        <w:rPr>
          <w:rFonts w:ascii="Times New Roman" w:eastAsia="仿宋_GB2312" w:hAnsi="Times New Roman" w:hint="eastAsia"/>
          <w:color w:val="0070C0"/>
          <w:sz w:val="28"/>
          <w:szCs w:val="28"/>
        </w:rPr>
        <w:t>2025/26</w:t>
      </w:r>
      <w:r w:rsidR="006B0A70" w:rsidRPr="000845C8">
        <w:rPr>
          <w:rFonts w:ascii="Times New Roman" w:eastAsia="仿宋_GB2312" w:hAnsi="Times New Roman" w:hint="eastAsia"/>
          <w:color w:val="0070C0"/>
          <w:sz w:val="28"/>
          <w:szCs w:val="28"/>
        </w:rPr>
        <w:t>和</w:t>
      </w:r>
      <w:r w:rsidR="006B0A70" w:rsidRPr="000845C8">
        <w:rPr>
          <w:rFonts w:ascii="Times New Roman" w:eastAsia="仿宋_GB2312" w:hAnsi="Times New Roman" w:hint="eastAsia"/>
          <w:color w:val="0070C0"/>
          <w:sz w:val="28"/>
          <w:szCs w:val="28"/>
        </w:rPr>
        <w:t>2026/27</w:t>
      </w:r>
      <w:r w:rsidR="006B0A70" w:rsidRPr="000845C8">
        <w:rPr>
          <w:rFonts w:ascii="Times New Roman" w:eastAsia="仿宋_GB2312" w:hAnsi="Times New Roman" w:hint="eastAsia"/>
          <w:color w:val="0070C0"/>
          <w:sz w:val="28"/>
          <w:szCs w:val="28"/>
        </w:rPr>
        <w:t>财年实际</w:t>
      </w:r>
      <w:r w:rsidR="006B0A70" w:rsidRPr="000845C8">
        <w:rPr>
          <w:rFonts w:ascii="Times New Roman" w:eastAsia="仿宋_GB2312" w:hAnsi="Times New Roman" w:hint="eastAsia"/>
          <w:color w:val="0070C0"/>
          <w:sz w:val="28"/>
          <w:szCs w:val="28"/>
        </w:rPr>
        <w:t>GDP</w:t>
      </w:r>
      <w:r w:rsidR="006B0A70" w:rsidRPr="000845C8">
        <w:rPr>
          <w:rFonts w:ascii="Times New Roman" w:eastAsia="仿宋_GB2312" w:hAnsi="Times New Roman" w:hint="eastAsia"/>
          <w:color w:val="0070C0"/>
          <w:sz w:val="28"/>
          <w:szCs w:val="28"/>
        </w:rPr>
        <w:t>增速分别为</w:t>
      </w:r>
      <w:r w:rsidR="006B0A70" w:rsidRPr="000845C8">
        <w:rPr>
          <w:rFonts w:ascii="Times New Roman" w:eastAsia="仿宋_GB2312" w:hAnsi="Times New Roman" w:hint="eastAsia"/>
          <w:color w:val="0070C0"/>
          <w:sz w:val="28"/>
          <w:szCs w:val="28"/>
        </w:rPr>
        <w:t>4.8%</w:t>
      </w:r>
      <w:r w:rsidR="006B0A70" w:rsidRPr="000845C8">
        <w:rPr>
          <w:rFonts w:ascii="Times New Roman" w:eastAsia="仿宋_GB2312" w:hAnsi="Times New Roman" w:hint="eastAsia"/>
          <w:color w:val="0070C0"/>
          <w:sz w:val="28"/>
          <w:szCs w:val="28"/>
        </w:rPr>
        <w:t>和</w:t>
      </w:r>
      <w:r w:rsidR="006B0A70" w:rsidRPr="000845C8">
        <w:rPr>
          <w:rFonts w:ascii="Times New Roman" w:eastAsia="仿宋_GB2312" w:hAnsi="Times New Roman" w:hint="eastAsia"/>
          <w:color w:val="0070C0"/>
          <w:sz w:val="28"/>
          <w:szCs w:val="28"/>
        </w:rPr>
        <w:t>5.1%</w:t>
      </w:r>
      <w:r w:rsidR="000845C8" w:rsidRPr="000845C8">
        <w:rPr>
          <w:rFonts w:ascii="Times New Roman" w:eastAsia="仿宋_GB2312" w:hAnsi="Times New Roman" w:hint="eastAsia"/>
          <w:color w:val="0070C0"/>
          <w:sz w:val="28"/>
          <w:szCs w:val="28"/>
        </w:rPr>
        <w:t>，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但当前经济复苏未完全释放增长潜力。二是继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2024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年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11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月惠誉（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Fitch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）将其</w:t>
      </w:r>
      <w:r w:rsidR="000E32F9" w:rsidRPr="000E32F9"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长期主权信用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评级上调至“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B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”后，标准普尔全球（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S&amp;P Global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）于今年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10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月也将埃及评级上调至“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B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”。两大评级机构均指出，埃及改革已推动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GDP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大幅反弹，并获得国际合作伙伴有力支持。</w:t>
      </w:r>
    </w:p>
    <w:p w:rsidR="00694522" w:rsidRDefault="00000000">
      <w:pPr>
        <w:spacing w:line="500" w:lineRule="exact"/>
        <w:ind w:firstLineChars="200" w:firstLine="562"/>
        <w:rPr>
          <w:rFonts w:ascii="Times New Roman" w:eastAsia="仿宋_GB2312" w:hAnsi="Times New Roman"/>
          <w:color w:val="000000" w:themeColor="text1"/>
          <w:sz w:val="28"/>
          <w:szCs w:val="28"/>
        </w:rPr>
      </w:pPr>
      <w:r>
        <w:rPr>
          <w:rFonts w:ascii="Times New Roman" w:eastAsia="仿宋_GB2312" w:hAnsi="Times New Roman" w:hint="eastAsia"/>
          <w:b/>
          <w:bCs/>
          <w:color w:val="000000" w:themeColor="text1"/>
          <w:sz w:val="28"/>
          <w:szCs w:val="28"/>
        </w:rPr>
        <w:t>埃及经济增长面临诸多风险与挑战。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一是受巴以冲突影响，埃及面临外交关系紧张、国家安全受威胁等多重挑战。红海航运中断冲击外汇流入，阻碍旅游业复苏，贸易受阻或导致商品短缺，加剧通胀压力，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2024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年苏伊士运河收入较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2023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年减少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60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亿美元，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2025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年前五个月仍持续低迷。</w:t>
      </w:r>
      <w:r w:rsidR="000845C8"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但</w:t>
      </w:r>
      <w:r w:rsidR="000845C8" w:rsidRPr="000845C8">
        <w:rPr>
          <w:rFonts w:ascii="Times New Roman" w:eastAsia="仿宋_GB2312" w:hAnsi="Times New Roman" w:hint="eastAsia"/>
          <w:color w:val="0070C0"/>
          <w:sz w:val="28"/>
          <w:szCs w:val="28"/>
        </w:rPr>
        <w:t>在加沙近期停火背景下，若红海海运逐步恢复正常，苏伊士运河经济活动的部分复苏预计将在整个预测期内支撑实际</w:t>
      </w:r>
      <w:r w:rsidR="000845C8" w:rsidRPr="000845C8">
        <w:rPr>
          <w:rFonts w:ascii="Times New Roman" w:eastAsia="仿宋_GB2312" w:hAnsi="Times New Roman" w:hint="eastAsia"/>
          <w:color w:val="0070C0"/>
          <w:sz w:val="28"/>
          <w:szCs w:val="28"/>
        </w:rPr>
        <w:lastRenderedPageBreak/>
        <w:t>GDP</w:t>
      </w:r>
      <w:r w:rsidR="000845C8" w:rsidRPr="000845C8">
        <w:rPr>
          <w:rFonts w:ascii="Times New Roman" w:eastAsia="仿宋_GB2312" w:hAnsi="Times New Roman" w:hint="eastAsia"/>
          <w:color w:val="0070C0"/>
          <w:sz w:val="28"/>
          <w:szCs w:val="28"/>
        </w:rPr>
        <w:t>增长。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二是面临银行存款外流到稳定币的风险，渣打银行最新估计，稳定币将在未来三年从新兴市场银行中吸引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1</w:t>
      </w:r>
      <w:r>
        <w:rPr>
          <w:rFonts w:ascii="Times New Roman" w:eastAsia="仿宋_GB2312" w:hAnsi="Times New Roman" w:hint="eastAsia"/>
          <w:color w:val="000000" w:themeColor="text1"/>
          <w:sz w:val="28"/>
          <w:szCs w:val="28"/>
        </w:rPr>
        <w:t>万亿美元，曾经历过货币崩盘的埃及，在应对全球风险与货币贬值方面相对脆弱，一旦危机爆发，稳定币可能加剧埃及资本外流的风险。三是埃及仍面临青年失业率高与工业基础薄弱等结构性风险，这可能会抑制内需并加剧社会压力，制约经济可持续发展。</w:t>
      </w:r>
    </w:p>
    <w:p w:rsidR="000E32F9" w:rsidRDefault="000E32F9">
      <w:pPr>
        <w:spacing w:line="500" w:lineRule="exact"/>
        <w:ind w:firstLineChars="200" w:firstLine="560"/>
        <w:rPr>
          <w:rFonts w:ascii="Times New Roman" w:eastAsia="仿宋_GB2312" w:hAnsi="Times New Roman"/>
          <w:color w:val="000000" w:themeColor="text1"/>
          <w:sz w:val="28"/>
          <w:szCs w:val="28"/>
        </w:rPr>
      </w:pPr>
    </w:p>
    <w:p w:rsidR="00694522" w:rsidRDefault="00000000" w:rsidP="000E32F9">
      <w:pPr>
        <w:spacing w:line="500" w:lineRule="exact"/>
        <w:ind w:firstLineChars="1300" w:firstLine="3640"/>
        <w:rPr>
          <w:rFonts w:ascii="Times New Roman" w:eastAsia="仿宋_GB2312" w:hAnsi="Times New Roman"/>
          <w:sz w:val="28"/>
          <w:szCs w:val="28"/>
        </w:rPr>
      </w:pPr>
      <w:r>
        <w:rPr>
          <w:rFonts w:ascii="Times New Roman" w:eastAsia="仿宋_GB2312" w:hAnsi="Times New Roman" w:hint="eastAsia"/>
          <w:sz w:val="28"/>
          <w:szCs w:val="28"/>
        </w:rPr>
        <w:t>中国人民银行湖南省分行</w:t>
      </w:r>
      <w:r>
        <w:rPr>
          <w:rFonts w:ascii="Times New Roman" w:eastAsia="仿宋_GB2312" w:hAnsi="Times New Roman" w:hint="eastAsia"/>
          <w:sz w:val="28"/>
          <w:szCs w:val="28"/>
        </w:rPr>
        <w:t xml:space="preserve">   </w:t>
      </w:r>
    </w:p>
    <w:p w:rsidR="00E1095E" w:rsidRDefault="00000000" w:rsidP="000E32F9">
      <w:pPr>
        <w:spacing w:line="500" w:lineRule="exact"/>
        <w:ind w:firstLineChars="1300" w:firstLine="3640"/>
        <w:jc w:val="right"/>
        <w:rPr>
          <w:rFonts w:ascii="Times New Roman" w:eastAsia="仿宋_GB2312" w:hAnsi="Times New Roman"/>
          <w:sz w:val="28"/>
          <w:szCs w:val="28"/>
        </w:rPr>
      </w:pPr>
      <w:r>
        <w:rPr>
          <w:rFonts w:ascii="Times New Roman" w:eastAsia="仿宋_GB2312" w:hAnsi="Times New Roman" w:hint="eastAsia"/>
          <w:sz w:val="28"/>
          <w:szCs w:val="28"/>
        </w:rPr>
        <w:t>中国人民银行</w:t>
      </w:r>
      <w:r w:rsidR="000E32F9">
        <w:rPr>
          <w:rFonts w:ascii="Times New Roman" w:eastAsia="仿宋_GB2312" w:hAnsi="Times New Roman" w:hint="eastAsia"/>
          <w:sz w:val="28"/>
          <w:szCs w:val="28"/>
        </w:rPr>
        <w:t>常德市</w:t>
      </w:r>
      <w:r>
        <w:rPr>
          <w:rFonts w:ascii="Times New Roman" w:eastAsia="仿宋_GB2312" w:hAnsi="Times New Roman" w:hint="eastAsia"/>
          <w:sz w:val="28"/>
          <w:szCs w:val="28"/>
        </w:rPr>
        <w:t>分行</w:t>
      </w:r>
      <w:r>
        <w:rPr>
          <w:rFonts w:ascii="Times New Roman" w:eastAsia="仿宋_GB2312" w:hAnsi="Times New Roman" w:hint="eastAsia"/>
          <w:sz w:val="28"/>
          <w:szCs w:val="28"/>
        </w:rPr>
        <w:t xml:space="preserve">   </w:t>
      </w:r>
      <w:r w:rsidR="00E1095E">
        <w:rPr>
          <w:rFonts w:ascii="Times New Roman" w:eastAsia="仿宋_GB2312" w:hAnsi="Times New Roman" w:hint="eastAsia"/>
          <w:sz w:val="28"/>
          <w:szCs w:val="28"/>
        </w:rPr>
        <w:t>孙</w:t>
      </w:r>
      <w:r w:rsidR="00E1095E">
        <w:rPr>
          <w:rFonts w:ascii="Times New Roman" w:eastAsia="仿宋_GB2312" w:hAnsi="Times New Roman" w:hint="eastAsia"/>
          <w:sz w:val="28"/>
          <w:szCs w:val="28"/>
        </w:rPr>
        <w:t xml:space="preserve"> </w:t>
      </w:r>
      <w:r w:rsidR="00E1095E">
        <w:rPr>
          <w:rFonts w:ascii="Times New Roman" w:eastAsia="仿宋_GB2312" w:hAnsi="Times New Roman" w:hint="eastAsia"/>
          <w:sz w:val="28"/>
          <w:szCs w:val="28"/>
        </w:rPr>
        <w:t>诗</w:t>
      </w:r>
      <w:r w:rsidR="00E1095E">
        <w:rPr>
          <w:rFonts w:ascii="Times New Roman" w:eastAsia="仿宋_GB2312" w:hAnsi="Times New Roman" w:hint="eastAsia"/>
          <w:sz w:val="28"/>
          <w:szCs w:val="28"/>
        </w:rPr>
        <w:t xml:space="preserve"> </w:t>
      </w:r>
      <w:r w:rsidR="00E1095E">
        <w:rPr>
          <w:rFonts w:ascii="Times New Roman" w:eastAsia="仿宋_GB2312" w:hAnsi="Times New Roman" w:hint="eastAsia"/>
          <w:sz w:val="28"/>
          <w:szCs w:val="28"/>
        </w:rPr>
        <w:t>媛</w:t>
      </w:r>
    </w:p>
    <w:p w:rsidR="000E32F9" w:rsidRDefault="00E1095E" w:rsidP="000E32F9">
      <w:pPr>
        <w:spacing w:line="500" w:lineRule="exact"/>
        <w:ind w:firstLineChars="1300" w:firstLine="3640"/>
        <w:jc w:val="right"/>
        <w:rPr>
          <w:rFonts w:ascii="Times New Roman" w:eastAsia="仿宋_GB2312" w:hAnsi="Times New Roman"/>
          <w:sz w:val="28"/>
          <w:szCs w:val="28"/>
        </w:rPr>
      </w:pPr>
      <w:r>
        <w:rPr>
          <w:rFonts w:ascii="Times New Roman" w:eastAsia="仿宋_GB2312" w:hAnsi="Times New Roman" w:hint="eastAsia"/>
          <w:sz w:val="28"/>
          <w:szCs w:val="28"/>
        </w:rPr>
        <w:t>欧阳岑炫</w:t>
      </w:r>
    </w:p>
    <w:p w:rsidR="00694522" w:rsidRDefault="00694522">
      <w:pPr>
        <w:spacing w:line="500" w:lineRule="exact"/>
        <w:ind w:firstLineChars="1400" w:firstLine="3920"/>
        <w:jc w:val="right"/>
        <w:rPr>
          <w:rFonts w:ascii="Times New Roman" w:eastAsia="仿宋_GB2312" w:hAnsi="Times New Roman"/>
          <w:sz w:val="28"/>
          <w:szCs w:val="28"/>
        </w:rPr>
      </w:pPr>
    </w:p>
    <w:p w:rsidR="00694522" w:rsidRDefault="00694522">
      <w:pPr>
        <w:spacing w:line="500" w:lineRule="exact"/>
        <w:ind w:firstLineChars="200" w:firstLine="560"/>
        <w:rPr>
          <w:rFonts w:ascii="Times New Roman" w:eastAsia="仿宋_GB2312" w:hAnsi="Times New Roman"/>
          <w:color w:val="000000"/>
          <w:sz w:val="28"/>
          <w:szCs w:val="28"/>
        </w:rPr>
      </w:pPr>
    </w:p>
    <w:p w:rsidR="00694522" w:rsidRDefault="00694522">
      <w:pPr>
        <w:spacing w:line="500" w:lineRule="exact"/>
        <w:ind w:firstLineChars="200" w:firstLine="560"/>
        <w:jc w:val="right"/>
        <w:rPr>
          <w:rFonts w:ascii="Times New Roman" w:eastAsia="仿宋_GB2312" w:hAnsi="Times New Roman"/>
          <w:color w:val="000000"/>
          <w:sz w:val="28"/>
          <w:szCs w:val="28"/>
        </w:rPr>
      </w:pPr>
    </w:p>
    <w:sectPr w:rsidR="00694522">
      <w:footerReference w:type="default" r:id="rId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E4EBF" w:rsidRDefault="008E4EBF">
      <w:r>
        <w:separator/>
      </w:r>
    </w:p>
  </w:endnote>
  <w:endnote w:type="continuationSeparator" w:id="0">
    <w:p w:rsidR="008E4EBF" w:rsidRDefault="008E4E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94522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94522" w:rsidRDefault="00000000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" filled="f" stroked="f">
              <v:textbox style="mso-fit-shape-to-text:t" inset="0,0,0,0">
                <w:txbxContent>
                  <w:p w:rsidR="00694522" w:rsidRDefault="00000000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E4EBF" w:rsidRDefault="008E4EBF">
      <w:r>
        <w:separator/>
      </w:r>
    </w:p>
  </w:footnote>
  <w:footnote w:type="continuationSeparator" w:id="0">
    <w:p w:rsidR="008E4EBF" w:rsidRDefault="008E4E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BEFE029"/>
    <w:rsid w:val="00A42E5F"/>
    <w:rsid w:val="6BEFE029"/>
    <w:rsid w:val="CFB78DEB"/>
    <w:rsid w:val="D3E6957C"/>
    <w:rsid w:val="D6B62115"/>
    <w:rsid w:val="D73A1BD8"/>
    <w:rsid w:val="DA735E58"/>
    <w:rsid w:val="DA7F6171"/>
    <w:rsid w:val="DAFFD117"/>
    <w:rsid w:val="DDB41E35"/>
    <w:rsid w:val="DDB9401A"/>
    <w:rsid w:val="DDFB301C"/>
    <w:rsid w:val="DDFD5914"/>
    <w:rsid w:val="DEFBE13A"/>
    <w:rsid w:val="DFEF831F"/>
    <w:rsid w:val="E7CF9115"/>
    <w:rsid w:val="ECF6522C"/>
    <w:rsid w:val="ED7D2D07"/>
    <w:rsid w:val="EDDD4F1B"/>
    <w:rsid w:val="EFADF9DA"/>
    <w:rsid w:val="EFF78199"/>
    <w:rsid w:val="EFFC406F"/>
    <w:rsid w:val="F146F0DC"/>
    <w:rsid w:val="F3BC5A3F"/>
    <w:rsid w:val="F3FB1029"/>
    <w:rsid w:val="F3FF068A"/>
    <w:rsid w:val="F53E7A0D"/>
    <w:rsid w:val="F57EC7DF"/>
    <w:rsid w:val="F5F6673A"/>
    <w:rsid w:val="F69F4E6E"/>
    <w:rsid w:val="F77CC309"/>
    <w:rsid w:val="F7CC456F"/>
    <w:rsid w:val="F7F3FDC8"/>
    <w:rsid w:val="F9FE66A5"/>
    <w:rsid w:val="FADC0460"/>
    <w:rsid w:val="FB5B3463"/>
    <w:rsid w:val="FB5B9B2A"/>
    <w:rsid w:val="FBDBDBD9"/>
    <w:rsid w:val="FBEEA852"/>
    <w:rsid w:val="FD6F0FE8"/>
    <w:rsid w:val="FD7D57CA"/>
    <w:rsid w:val="FDDF3D0B"/>
    <w:rsid w:val="FDDF91D6"/>
    <w:rsid w:val="FDEEE2AA"/>
    <w:rsid w:val="FDFC3E9B"/>
    <w:rsid w:val="FE67D6F2"/>
    <w:rsid w:val="FEADDF6F"/>
    <w:rsid w:val="FEFDCEAD"/>
    <w:rsid w:val="FF5FED45"/>
    <w:rsid w:val="FF72DA94"/>
    <w:rsid w:val="FF7B4B25"/>
    <w:rsid w:val="FF7B5752"/>
    <w:rsid w:val="FFD15344"/>
    <w:rsid w:val="FFDAF584"/>
    <w:rsid w:val="FFEAEC1B"/>
    <w:rsid w:val="FFFFDCF6"/>
    <w:rsid w:val="000845C8"/>
    <w:rsid w:val="000901B2"/>
    <w:rsid w:val="000E32F9"/>
    <w:rsid w:val="003A4F12"/>
    <w:rsid w:val="00431F19"/>
    <w:rsid w:val="0050527F"/>
    <w:rsid w:val="00663809"/>
    <w:rsid w:val="00694522"/>
    <w:rsid w:val="006B0A70"/>
    <w:rsid w:val="006C46C9"/>
    <w:rsid w:val="008E4EBF"/>
    <w:rsid w:val="009174AE"/>
    <w:rsid w:val="00A8462B"/>
    <w:rsid w:val="00B119E7"/>
    <w:rsid w:val="00C42E7E"/>
    <w:rsid w:val="00CD6A9B"/>
    <w:rsid w:val="00DA6A6F"/>
    <w:rsid w:val="00E1095E"/>
    <w:rsid w:val="028A203B"/>
    <w:rsid w:val="02B7624C"/>
    <w:rsid w:val="034E1029"/>
    <w:rsid w:val="07493DE4"/>
    <w:rsid w:val="07B5E61C"/>
    <w:rsid w:val="07F81450"/>
    <w:rsid w:val="0A5B1BB3"/>
    <w:rsid w:val="0A7B2217"/>
    <w:rsid w:val="0A801619"/>
    <w:rsid w:val="0CEE0318"/>
    <w:rsid w:val="0E9F768C"/>
    <w:rsid w:val="13BF10D1"/>
    <w:rsid w:val="141B480E"/>
    <w:rsid w:val="14216969"/>
    <w:rsid w:val="15442DF3"/>
    <w:rsid w:val="16FF9E53"/>
    <w:rsid w:val="1754648B"/>
    <w:rsid w:val="17F90913"/>
    <w:rsid w:val="18403081"/>
    <w:rsid w:val="1A330EF8"/>
    <w:rsid w:val="1A9C1C7A"/>
    <w:rsid w:val="1AE856E5"/>
    <w:rsid w:val="1E544E3F"/>
    <w:rsid w:val="1E7135D0"/>
    <w:rsid w:val="1EFE27BB"/>
    <w:rsid w:val="1F333EB8"/>
    <w:rsid w:val="1FF71DCB"/>
    <w:rsid w:val="21540FBA"/>
    <w:rsid w:val="21A458C1"/>
    <w:rsid w:val="22CE105D"/>
    <w:rsid w:val="23DF4AEE"/>
    <w:rsid w:val="251B2213"/>
    <w:rsid w:val="26881B2A"/>
    <w:rsid w:val="26FB772B"/>
    <w:rsid w:val="27CB0C65"/>
    <w:rsid w:val="29734F00"/>
    <w:rsid w:val="2A622615"/>
    <w:rsid w:val="2B404781"/>
    <w:rsid w:val="2C5D5807"/>
    <w:rsid w:val="2DA82BE1"/>
    <w:rsid w:val="2DAB32A9"/>
    <w:rsid w:val="2F6D5D61"/>
    <w:rsid w:val="2F6F9CE8"/>
    <w:rsid w:val="305A3C84"/>
    <w:rsid w:val="305F7790"/>
    <w:rsid w:val="30A9101A"/>
    <w:rsid w:val="3279475B"/>
    <w:rsid w:val="33863CD5"/>
    <w:rsid w:val="33A04957"/>
    <w:rsid w:val="34D56991"/>
    <w:rsid w:val="35F745D6"/>
    <w:rsid w:val="36164289"/>
    <w:rsid w:val="3679657E"/>
    <w:rsid w:val="37FBF358"/>
    <w:rsid w:val="388D7506"/>
    <w:rsid w:val="3AE2767F"/>
    <w:rsid w:val="3B3E23B8"/>
    <w:rsid w:val="3B4B47A2"/>
    <w:rsid w:val="3BD11F5A"/>
    <w:rsid w:val="3C502F0C"/>
    <w:rsid w:val="3DF84885"/>
    <w:rsid w:val="3E3B6181"/>
    <w:rsid w:val="3EB42BAE"/>
    <w:rsid w:val="3ED3B743"/>
    <w:rsid w:val="3F7F2AA3"/>
    <w:rsid w:val="3FBD8201"/>
    <w:rsid w:val="3FF956FB"/>
    <w:rsid w:val="3FF966E5"/>
    <w:rsid w:val="3FFDEDE1"/>
    <w:rsid w:val="3FFEB330"/>
    <w:rsid w:val="40D16AE4"/>
    <w:rsid w:val="42464E1B"/>
    <w:rsid w:val="432D63BF"/>
    <w:rsid w:val="43FD2FED"/>
    <w:rsid w:val="44D206E8"/>
    <w:rsid w:val="45322F35"/>
    <w:rsid w:val="45E61CF8"/>
    <w:rsid w:val="46F72688"/>
    <w:rsid w:val="47773A68"/>
    <w:rsid w:val="4B257098"/>
    <w:rsid w:val="4B3B5C13"/>
    <w:rsid w:val="4B7F6599"/>
    <w:rsid w:val="4D5F4AE3"/>
    <w:rsid w:val="4DE7330E"/>
    <w:rsid w:val="4F0A1064"/>
    <w:rsid w:val="4F1F32B6"/>
    <w:rsid w:val="4FD726E9"/>
    <w:rsid w:val="4FE13E9E"/>
    <w:rsid w:val="514F2E57"/>
    <w:rsid w:val="51F55A16"/>
    <w:rsid w:val="52A00C70"/>
    <w:rsid w:val="537A08C9"/>
    <w:rsid w:val="53D41FB3"/>
    <w:rsid w:val="55F878F9"/>
    <w:rsid w:val="5653531F"/>
    <w:rsid w:val="56535401"/>
    <w:rsid w:val="56C500AD"/>
    <w:rsid w:val="573E7E5F"/>
    <w:rsid w:val="583F1F85"/>
    <w:rsid w:val="58A85581"/>
    <w:rsid w:val="595F4CBD"/>
    <w:rsid w:val="5A556541"/>
    <w:rsid w:val="5A812888"/>
    <w:rsid w:val="5B1E12B0"/>
    <w:rsid w:val="5B7F45A2"/>
    <w:rsid w:val="5CDD5A24"/>
    <w:rsid w:val="5D105DFA"/>
    <w:rsid w:val="5D8F4F70"/>
    <w:rsid w:val="5DEE7DDB"/>
    <w:rsid w:val="5ECA377D"/>
    <w:rsid w:val="5EEB1C21"/>
    <w:rsid w:val="5EF6125D"/>
    <w:rsid w:val="5F4F3B89"/>
    <w:rsid w:val="5FAF9F7E"/>
    <w:rsid w:val="5FEB97DA"/>
    <w:rsid w:val="604311EB"/>
    <w:rsid w:val="609603C4"/>
    <w:rsid w:val="60B105EA"/>
    <w:rsid w:val="615564D1"/>
    <w:rsid w:val="6192530E"/>
    <w:rsid w:val="62D358FF"/>
    <w:rsid w:val="636C427F"/>
    <w:rsid w:val="65E816C2"/>
    <w:rsid w:val="673E3AFD"/>
    <w:rsid w:val="679DE023"/>
    <w:rsid w:val="67B84322"/>
    <w:rsid w:val="67FB3362"/>
    <w:rsid w:val="68865FF2"/>
    <w:rsid w:val="68C64895"/>
    <w:rsid w:val="68E61D28"/>
    <w:rsid w:val="69941FF3"/>
    <w:rsid w:val="69DA77AF"/>
    <w:rsid w:val="6A036190"/>
    <w:rsid w:val="6AF26B3F"/>
    <w:rsid w:val="6BEFE029"/>
    <w:rsid w:val="6CB53D0F"/>
    <w:rsid w:val="6CF546C4"/>
    <w:rsid w:val="6D9F4868"/>
    <w:rsid w:val="6F717901"/>
    <w:rsid w:val="6F7A21F2"/>
    <w:rsid w:val="6F9948F0"/>
    <w:rsid w:val="6FEED790"/>
    <w:rsid w:val="6FF7952E"/>
    <w:rsid w:val="6FFB5B29"/>
    <w:rsid w:val="70CE6BC5"/>
    <w:rsid w:val="710870BC"/>
    <w:rsid w:val="715B36ED"/>
    <w:rsid w:val="71CC6099"/>
    <w:rsid w:val="71CE6D52"/>
    <w:rsid w:val="73DC038C"/>
    <w:rsid w:val="73DFC607"/>
    <w:rsid w:val="74111357"/>
    <w:rsid w:val="744E45B0"/>
    <w:rsid w:val="74832394"/>
    <w:rsid w:val="77ADD929"/>
    <w:rsid w:val="77EEC864"/>
    <w:rsid w:val="77EF0807"/>
    <w:rsid w:val="78C77502"/>
    <w:rsid w:val="791E1FDB"/>
    <w:rsid w:val="79EA58C3"/>
    <w:rsid w:val="7A320D06"/>
    <w:rsid w:val="7AFF8713"/>
    <w:rsid w:val="7AFFF6C1"/>
    <w:rsid w:val="7BACB878"/>
    <w:rsid w:val="7BFBFA89"/>
    <w:rsid w:val="7C247EF1"/>
    <w:rsid w:val="7C77B002"/>
    <w:rsid w:val="7C831340"/>
    <w:rsid w:val="7CB10053"/>
    <w:rsid w:val="7CF3FB42"/>
    <w:rsid w:val="7D08195D"/>
    <w:rsid w:val="7D083E44"/>
    <w:rsid w:val="7D3B3B39"/>
    <w:rsid w:val="7D7B501B"/>
    <w:rsid w:val="7DCD62C5"/>
    <w:rsid w:val="7DE7CEA0"/>
    <w:rsid w:val="7DF741F7"/>
    <w:rsid w:val="7E7FF753"/>
    <w:rsid w:val="7E870BA6"/>
    <w:rsid w:val="7EBDB968"/>
    <w:rsid w:val="7EF24239"/>
    <w:rsid w:val="7EFF9478"/>
    <w:rsid w:val="7F370461"/>
    <w:rsid w:val="7F3948E4"/>
    <w:rsid w:val="7F5FE00F"/>
    <w:rsid w:val="7F77740A"/>
    <w:rsid w:val="7F7C1B60"/>
    <w:rsid w:val="7FBB7BB2"/>
    <w:rsid w:val="7FBF5114"/>
    <w:rsid w:val="7FCDD66C"/>
    <w:rsid w:val="7FDF1F5A"/>
    <w:rsid w:val="7FEF970E"/>
    <w:rsid w:val="7FF7D95E"/>
    <w:rsid w:val="7FFEF206"/>
    <w:rsid w:val="7FFF3F56"/>
    <w:rsid w:val="96AEEAD1"/>
    <w:rsid w:val="97D762E9"/>
    <w:rsid w:val="97FFE1BC"/>
    <w:rsid w:val="9CFF923D"/>
    <w:rsid w:val="9E9BD354"/>
    <w:rsid w:val="9EE1B680"/>
    <w:rsid w:val="A27FF826"/>
    <w:rsid w:val="B3AE7DC2"/>
    <w:rsid w:val="B3F96B4E"/>
    <w:rsid w:val="B5FF4DC6"/>
    <w:rsid w:val="BF750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560F2D"/>
  <w15:docId w15:val="{E762FFD1-4B85-437C-8F92-A15337F64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qFormat/>
    <w:rPr>
      <w:sz w:val="24"/>
    </w:rPr>
  </w:style>
  <w:style w:type="character" w:styleId="a6">
    <w:name w:val="Strong"/>
    <w:basedOn w:val="a0"/>
    <w:qFormat/>
    <w:rPr>
      <w:b/>
    </w:rPr>
  </w:style>
  <w:style w:type="character" w:styleId="a7">
    <w:name w:val="page number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1037</TotalTime>
  <Pages>4</Pages>
  <Words>1168</Words>
  <Characters>1379</Characters>
  <Application>Microsoft Office Word</Application>
  <DocSecurity>0</DocSecurity>
  <Lines>98</Lines>
  <Paragraphs>74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liuwz</dc:creator>
  <cp:lastModifiedBy>Cenxuan Ouyang</cp:lastModifiedBy>
  <cp:revision>6</cp:revision>
  <cp:lastPrinted>2025-10-15T09:26:00Z</cp:lastPrinted>
  <dcterms:created xsi:type="dcterms:W3CDTF">2025-11-13T09:53:00Z</dcterms:created>
  <dcterms:modified xsi:type="dcterms:W3CDTF">2025-11-14T03:58:00Z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eyJoZGlkIjoiYjdkNjcyNGY2MTgzZWM1ODQxYThkY2Q5NDIxYjJmNjAiLCJ1c2VySWQiOiIzMjMyMzgxNDkifQ==</vt:lpwstr>
  </property>
  <property fmtid="{D5CDD505-2E9C-101B-9397-08002B2CF9AE}" pid="4" name="ICV">
    <vt:lpwstr>AAF05D640BF64C2DB5DFFC47D58B9D43_13</vt:lpwstr>
  </property>
</Properties>
</file>