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C3E06">
      <w:pPr>
        <w:pStyle w:val="31"/>
        <w:jc w:val="center"/>
      </w:pPr>
      <w:r>
        <w:t>大模型辅助科研背景下的RAG</w:t>
      </w:r>
      <w:r>
        <w:rPr>
          <w:rFonts w:hint="eastAsia"/>
          <w:lang w:val="en-US" w:eastAsia="zh-CN"/>
        </w:rPr>
        <w:t>&amp;</w:t>
      </w:r>
      <w:r>
        <w:t>Agent研究策略</w:t>
      </w:r>
    </w:p>
    <w:p w14:paraId="06CB1298">
      <w:pPr>
        <w:pStyle w:val="3"/>
        <w:jc w:val="center"/>
      </w:pPr>
      <w:r>
        <w:t>摘要</w:t>
      </w:r>
    </w:p>
    <w:p w14:paraId="21705C27">
      <w:r>
        <w:t>大模型正在降低检索增强生成与智能体研究中的原型开发、实验执行和文稿整理成本。随着基础工具逐步普及，研究者需要把更多精力投入问题选择、机制解释和研究结果的有效验证。本文围绕如何形成可持续积累的研究贡献，提出三条相互补充的路径：从真实约束中提炼具有实际意义的问题，通过控制实验揭示系统失效的原因，以及建立能够反映实际能力</w:t>
      </w:r>
      <w:bookmarkStart w:id="0" w:name="_GoBack"/>
      <w:bookmarkEnd w:id="0"/>
      <w:r>
        <w:t>的评测。文章以知识库权限变化、多文档证据组织和智能体操作副作用为例，分别给出研究假设、实验对照、评价指标与成果形式，并进一步讨论选题取舍和人机协作流程。本文认为，研究突围的关键在于形成清楚的问题、可靠的证据和可推广的认识，将工具带来的效率转化为研究深度。</w:t>
      </w:r>
    </w:p>
    <w:p w14:paraId="42AEA89A">
      <w:pPr>
        <w:spacing w:after="200"/>
        <w:ind w:firstLine="0"/>
      </w:pPr>
      <w:r>
        <w:t>关键词：检索增强生成；智能体；研究策略；机制分析；评测设计</w:t>
      </w:r>
    </w:p>
    <w:p w14:paraId="18DCF7A7">
      <w:pPr>
        <w:pStyle w:val="3"/>
      </w:pPr>
      <w:r>
        <w:t>1 引言</w:t>
      </w:r>
    </w:p>
    <w:p w14:paraId="252784B4">
      <w:r>
        <w:t>大模型的普及改变了科研活动的时间分配。代码草拟、文献初筛、实验脚本编写和结果整理可以获得自动化支持，研究者因而有条件更快地验证想法。在RAG与Agent方向，公开框架和基准进一步缩短了从构想到原型的距离。面对相近的工具条件，研究者需要回答一个实际问题：怎样选择研究对象、组织实验并积累成果，才能形成有辨识度的学术贡献。</w:t>
      </w:r>
    </w:p>
    <w:p w14:paraId="61598F8B">
      <w:r>
        <w:t>RAG将外部检索与语言模型生成结合，为知识密集型任务提供支持[1]。Agent进一步关注模型如何调用工具、采取行动并利用环境反馈完成任务，ReAct是其中的代表性范式[2]。前者涉及证据获取与答案组织，后者还涉及行动顺序、状态变化和执行后果。这些环节为研究提供了丰富对象：同一个系统既可能因检索遗漏而回答错误，也可能在回答正确时使用过期证据，或在完成任务时产生额外损失。</w:t>
      </w:r>
    </w:p>
    <w:p w14:paraId="62DD3108">
      <w:r>
        <w:t>本文将研究策略的重点放在三个问题上：如何从应用需求中识别值得研究的矛盾，如何解释系统表现背后的原因，以及如何判断一种改进是否具有实际意义。相应地，文章提出真实约束、机制解释和评测创新三条路径，并给出具体方案与实施步骤，为研究生在时间、数据和算力有限的条件下开展选题提供参考。</w:t>
      </w:r>
    </w:p>
    <w:p w14:paraId="29E6438B">
      <w:pPr>
        <w:pStyle w:val="3"/>
      </w:pPr>
      <w:r>
        <w:t>2 工具普及后的研究着力点</w:t>
      </w:r>
    </w:p>
    <w:p w14:paraId="20157A66">
      <w:pPr>
        <w:pStyle w:val="4"/>
      </w:pPr>
      <w:r>
        <w:t>2.1 将实现效率转化为探索深度</w:t>
      </w:r>
    </w:p>
    <w:p w14:paraId="61BA037E">
      <w:r>
        <w:t>自动化首先扩大了可以尝试的方案数量。研究者可以更快地比较检索器、切分方式、提示词和工具调用策略，也能对失败日志进行批量整理。要把这一优势转化为研究深度，需要在实验前明确比较目的：某次替换是在检验假设，还是仅仅寻找更高分数。围绕同一问题持续积累证据，有助于从大量尝试中识别稳定关系。</w:t>
      </w:r>
    </w:p>
    <w:p w14:paraId="7D14AE4A">
      <w:r>
        <w:t>Si等人的研究想法盲评发现，模型生成的想法能够获得较高的新颖性评价，同时在可行性、自我评价和生成多样性方面仍存在问题[3]。对研究实践的启示是，可以利用模型扩大候选方向，再结合领域需求、已有工作和资源条件进行筛选。选题的质量最终需要通过研究过程检验，包括能否获得数据、能否构造有效对照，以及结果能否支持最初提出的问题。</w:t>
      </w:r>
    </w:p>
    <w:p w14:paraId="6C0D2BDA">
      <w:pPr>
        <w:pStyle w:val="4"/>
      </w:pPr>
      <w:r>
        <w:t>2.2 围绕三类成果组织研究</w:t>
      </w:r>
    </w:p>
    <w:p w14:paraId="4F85FA02">
      <w:r>
        <w:t>有价值的研究可以形成三类相互关联的成果。第一类是清楚的问题定义：指出特定条件下存在什么缺陷、影响谁以及为什么值得解决。第二类是经过验证的机制解释：识别导致表现变化的因素，并说明其适用范围。第三类是可复用的验证方法：将重要能力转化为其他研究者也能采用的任务、指标或实验协议。</w:t>
      </w:r>
    </w:p>
    <w:p w14:paraId="47927DC6">
      <w:r>
        <w:t>这三类成果都可以与方法创新结合。例如，发现权限变化后的证据泄露，可以进一步提出信息失效处理方法；解释证据分散造成的错误，可以指导检索与聚合策略；建立副作用评测，可以推动更可靠的行动规划。问题、解释与方法之间建立明确联系后，一项研究就具有连续的论证链条，读者也更容易判断贡献来自哪里。</w:t>
      </w:r>
    </w:p>
    <w:p w14:paraId="16CC6CA8">
      <w:r>
        <w:t>成果的积累还需要可迁移性。一次实验可以从单个任务开始，但后续应检查结论在不同模型、任务或资源预算下如何变化。即使方法效果随模型升级而改变，清楚记录的失效条件、实验设计和评价标准，仍能为后续研究提供起点。这要求研究者在报告结果时同步交代有效条件与适用边界。</w:t>
      </w:r>
    </w:p>
    <w:p w14:paraId="3BBD10AC">
      <w:pPr>
        <w:pStyle w:val="4"/>
      </w:pPr>
      <w:r>
        <w:t>2.3 用人机协作扩大证据覆盖</w:t>
      </w:r>
    </w:p>
    <w:p w14:paraId="09BD33C8">
      <w:r>
        <w:t>模型可以参与文献整理、假设生成、代码实现和错误归类。RAG-Critic通过自动错误挖掘与细粒度反馈改进检索和生成流程，展示了自动分析在系统改进中的作用[4]。在科研中，可以沿用这种思路，让工具负责扩大案例覆盖面，由研究者核对分类、寻找反例并决定下一步实验。</w:t>
      </w:r>
    </w:p>
    <w:p w14:paraId="35CDACDA">
      <w:r>
        <w:t>具体分工应围绕证据质量展开。模型生成候选解释后，研究者将其转化为可操纵变量；模型整理错误后，研究者抽查原始记录并处理分类分歧；模型提出改进后，研究者检查其是否真正针对已识别原因。每一轮协作都形成可检查的产出，使自动化支持下一轮判断，也让研究过程能够被追溯。</w:t>
      </w:r>
    </w:p>
    <w:p w14:paraId="074F286F">
      <w:pPr>
        <w:pStyle w:val="3"/>
      </w:pPr>
      <w:r>
        <w:t>3 三条研究路径及其具体方案</w:t>
      </w:r>
    </w:p>
    <w:p w14:paraId="47579D5B">
      <w:pPr>
        <w:pStyle w:val="4"/>
      </w:pPr>
      <w:r>
        <w:t>3.1 从真实约束中发现问题</w:t>
      </w:r>
    </w:p>
    <w:p w14:paraId="6A09AB11">
      <w:r>
        <w:t>真实场景常常同时要求效果、成本与可靠性。约束之间的冲突能够产生具体研究问题。例如，知识库中的访问权限会随人员和任务变化，而系统的缓存、历史对话与长期记忆可能保留此前获取的内容。这里的核心问题是：权限发生变化后，系统如何及时调整可使用的信息，同时维持合法任务的完成质量。</w:t>
      </w:r>
    </w:p>
    <w:p w14:paraId="08045D39">
      <w:r>
        <w:t>可以把这一问题收窄为“动态撤权条件下的证据失效处理”。研究假设是，检索入口的权限过滤与历史信息的失效处理共同影响泄露风险。首先明确系统的信任边界：禁止内容指当前授权范围之外、仍留存在系统内部的证据；评价对象是系统后续是否继续使用这些内容。已经合法展示给用户的信息，则按既定规则另行处理。</w:t>
      </w:r>
    </w:p>
    <w:p w14:paraId="46DC5112">
      <w:r>
        <w:t>最小实验可以建立带用户、文档和时间标签的知识库，设置授权、撤权、更新和跨用户追问等事件。对照包括仅在检索时过滤权限、每轮重新鉴权，以及进一步更新缓存和历史证据的方案。各方案使用相同文档、查询和生成预算，记录检索、记忆与回答阶段的信息流转，以确定问题出现的位置。</w:t>
      </w:r>
    </w:p>
    <w:p w14:paraId="3FD47A3F">
      <w:r>
        <w:t>评价同时考虑禁止信息泄露率、合法问题回答质量、撤权生效延迟和额外开销。对普通追问与刻意诱导分别测试，检查不同使用条件下的风险。还应区分正确拒绝、错误拒绝和未完成回答，观察风险降低是否以过多拒绝合法请求为代价。最终呈现不同方案在安全、可用性与成本之间的权衡。</w:t>
      </w:r>
    </w:p>
    <w:p w14:paraId="001C2F8A">
      <w:r>
        <w:t>这条路径的成果可以包括事件驱动的测试协议、信息传播的失效分类，以及适用于特定架构的处理方法。若能够获得领域合作，可以进一步核对真实权限规则与使用习惯；资源有限时，可以先在可控环境验证核心机制，再逐步增加用户数量和任务复杂度。研究范围应与数据质量和规则可信度相匹配。</w:t>
      </w:r>
    </w:p>
    <w:p w14:paraId="62261654">
      <w:pPr>
        <w:pStyle w:val="4"/>
      </w:pPr>
      <w:r>
        <w:t>3.2 通过控制实验解释机制</w:t>
      </w:r>
    </w:p>
    <w:p w14:paraId="4812AB4A">
      <w:r>
        <w:t>机制研究从稳定现象出发，逐步定位原因。Levy等人在控制上下文长度和相关信息位置后发现，增加文档数量会使多数受测模型的多跳问答表现下降，部分模型则较为稳定[5]。这一结果提供了进一步分析的起点：系统的困难可能与证据组织、文档边界或干扰内容有关，不同模型对这些因素的敏感程度也值得比较。</w:t>
      </w:r>
    </w:p>
    <w:p w14:paraId="43F5CCB9">
      <w:r>
        <w:t>一个具体问题是“固定输入预算下，证据分散如何影响跨文档推理”。可以提出假设：当完成推理所需的信息分布在更多位置时，模型选择和关联证据的难度上升。研究目标是确定这种影响在什么任务和条件下出现，并据此判断何时适合集中证据、何时需要保留完整文档结构。</w:t>
      </w:r>
    </w:p>
    <w:p w14:paraId="7FEAE0E2">
      <w:r>
        <w:t>实验应逐步操纵文档数量、证据分散程度、文档边界和干扰强度。首先保持答案所需事实与输入长度尽可能一致，再比较集中呈现、分散呈现、随机排序和证据聚合等条件。对于加入冲突信息的实验，应单独记录冲突来源和可信度，防止把信息正确性变化与组织方式变化混在一起。</w:t>
      </w:r>
    </w:p>
    <w:p w14:paraId="20F718B5">
      <w:r>
        <w:t>对照中增加只提供必要证据的条件，可以帮助区分检索噪声与证据整合的影响。评价包括答案正确性、证据选择正确率、推理步骤中断位置以及错误类型。实验还应覆盖不同模型和多个任务，并通过重复运行估计结果波动。这样能够判断观察到的关系是否稳定，以及模型差异集中在哪些环节。</w:t>
      </w:r>
    </w:p>
    <w:p w14:paraId="1CEEA93F">
      <w:r>
        <w:t>机制解释需要产生可检验的预测。如果证据分散是重要因素，聚合策略应在高分散任务中带来更明显收益，而在证据已经集中的任务中作用较小。可以将这一预测提前写入验证计划，再使用独立任务检验。预测获得支持后，进一步建立形式化描述，明确变量、假设和适用条件，将经验观察转化为可用于设计系统的规律。</w:t>
      </w:r>
    </w:p>
    <w:p w14:paraId="0119C845">
      <w:r>
        <w:t>对研究生而言，机制研究可以先完成一个范围有限但证据完整的问题。例如，只研究双跳问答中的证据距离与排序，然后逐步扩展到更多跳数或更复杂的冲突条件。每次扩展都围绕同一解释展开，最终积累一组相互支持的结果，而不是将多个松散现象放在同一篇报告中。</w:t>
      </w:r>
    </w:p>
    <w:p w14:paraId="2346D40F">
      <w:pPr>
        <w:pStyle w:val="4"/>
      </w:pPr>
      <w:r>
        <w:t>3.3 建立反映实际能力的评测</w:t>
      </w:r>
    </w:p>
    <w:p w14:paraId="7892F374">
      <w:r>
        <w:t>评测决定研究者关注什么能力，也决定一种方法能否被认为取得进步。AgentBench通过多个交互环境评估模型的推理与决策能力[6]；CRAG将领域、题型和事实时效性纳入任务设计[7]；BRIGHT关注需要推理才能判断相关性的检索[8]；ALCE则分别评价答案质量与引用支持[9]。这些工作为围绕具体能力设计评价提供了参考。</w:t>
      </w:r>
    </w:p>
    <w:p w14:paraId="78FCA485">
      <w:r>
        <w:t>对Agent，一个值得具体研究的问题是“任务完成质量与操作副作用如何共同评价”。例如，系统完成了文件整理，却删除了无关文件；完成了预订，却重复执行操作。研究假设是，最终成功率接近的系统，在越权、误操作和恢复成本方面可能存在明显差异，过程评价能够揭示这些差异及其来源。</w:t>
      </w:r>
    </w:p>
    <w:p w14:paraId="64B244E1">
      <w:r>
        <w:t>最小实验可以复用可重置的文件操作或网页交互任务，预先指定目标状态、允许修改的对象与禁止动作。执行时记录完整操作轨迹和状态变化，分别判断目标是否达成、限制是否遵守，以及发生损失后能否恢复。为便于公平比较，不同系统应在一致的任务、权限和调用预算下运行。</w:t>
      </w:r>
    </w:p>
    <w:p w14:paraId="7B5B8514">
      <w:r>
        <w:t>核心指标包括无违规成功率、副作用次数、恢复成本和人工接管需求。对于代价不同的失败，报告中应列出严重错误的数量及类型，并保留原有成功率，使读者能同时观察任务效果和过程可靠性。重点分析两种评价下排序发生变化的案例，定位差异来自规划、工具执行还是恢复策略。</w:t>
      </w:r>
    </w:p>
    <w:p w14:paraId="54D549A6">
      <w:r>
        <w:t>评价规则需要与任务损失对应。可以请两名评审独立标注有争议的行为，讨论分歧后完善规则，再固定正式测试标准。数据划分按任务结构进行，相同模板仅替换对象名称的实例应进入同一划分。指标还应经过重复运行和人工抽查，检查稳定性以及自动评分与人工判断的一致程度。</w:t>
      </w:r>
    </w:p>
    <w:p w14:paraId="0958A0D3">
      <w:r>
        <w:t>这条路径的成果包括具有明确规则的任务集、评价程序和失败分类，也可以进一步提出降低副作用的方法。研究规模取决于环境维护和人工审核成本。初期宜选择状态变化容易观察、违规条件清楚的一类任务，先验证过程指标的解释力，再扩展到更多环境。</w:t>
      </w:r>
    </w:p>
    <w:p w14:paraId="2777D2CD">
      <w:pPr>
        <w:pStyle w:val="3"/>
      </w:pPr>
      <w:r>
        <w:t>4 三条路径的组合与选题取舍</w:t>
      </w:r>
    </w:p>
    <w:p w14:paraId="1BE9A82A">
      <w:pPr>
        <w:pStyle w:val="4"/>
      </w:pPr>
      <w:r>
        <w:t>4.1 依据证据条件选择切口</w:t>
      </w:r>
    </w:p>
    <w:p w14:paraId="5D4AAF56">
      <w:r>
        <w:t>三条路径分别从需求、现象和评价入手。拥有领域合作与业务数据时，可以优先寻找约束冲突；能够稳定复现性能变化时，可以从机制解释开始；已有任务效果与实际表现存在明显落差时，可以围绕评价规则展开。选题的第一步是盘点能够获得的证据，再决定研究范围与成果形式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58"/>
        <w:gridCol w:w="3798"/>
      </w:tblGrid>
      <w:tr w14:paraId="67C1F7A3">
        <w:trPr>
          <w:tblHeader/>
        </w:trPr>
        <w:tc>
          <w:tcPr>
            <w:tcW w:w="29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1B9E9">
            <w:pPr>
              <w:spacing w:after="0" w:line="276" w:lineRule="auto"/>
              <w:ind w:firstLine="0"/>
            </w:pPr>
            <w:r>
              <w:rPr>
                <w:b/>
                <w:sz w:val="20"/>
              </w:rPr>
              <w:t>研究路径</w:t>
            </w:r>
          </w:p>
        </w:tc>
        <w:tc>
          <w:tcPr>
            <w:tcW w:w="29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8F6F8">
            <w:pPr>
              <w:spacing w:after="0" w:line="276" w:lineRule="auto"/>
              <w:ind w:firstLine="0"/>
            </w:pPr>
            <w:r>
              <w:rPr>
                <w:b/>
                <w:sz w:val="20"/>
              </w:rPr>
              <w:t>优先条件</w:t>
            </w:r>
          </w:p>
        </w:tc>
        <w:tc>
          <w:tcPr>
            <w:tcW w:w="29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55CAE">
            <w:pPr>
              <w:spacing w:after="0" w:line="276" w:lineRule="auto"/>
              <w:ind w:firstLine="0"/>
            </w:pPr>
            <w:r>
              <w:rPr>
                <w:b/>
                <w:sz w:val="20"/>
              </w:rPr>
              <w:t>核心产出</w:t>
            </w:r>
          </w:p>
        </w:tc>
      </w:tr>
      <w:tr w14:paraId="2B086772"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CD334">
            <w:pPr>
              <w:spacing w:after="0" w:line="276" w:lineRule="auto"/>
              <w:ind w:firstLine="0"/>
            </w:pPr>
            <w:r>
              <w:rPr>
                <w:b w:val="0"/>
                <w:sz w:val="20"/>
              </w:rPr>
              <w:t>真实约束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B49C00">
            <w:pPr>
              <w:spacing w:after="0" w:line="276" w:lineRule="auto"/>
              <w:ind w:firstLine="0"/>
            </w:pPr>
            <w:r>
              <w:rPr>
                <w:b w:val="0"/>
                <w:sz w:val="20"/>
              </w:rPr>
              <w:t>需求明确且规则可核验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4F0827">
            <w:pPr>
              <w:spacing w:after="0" w:line="276" w:lineRule="auto"/>
              <w:ind w:firstLine="0"/>
            </w:pPr>
            <w:r>
              <w:rPr>
                <w:b w:val="0"/>
                <w:sz w:val="20"/>
              </w:rPr>
              <w:t>问题定义与处理方法</w:t>
            </w:r>
          </w:p>
        </w:tc>
      </w:tr>
      <w:tr w14:paraId="2A96675F"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81974">
            <w:pPr>
              <w:spacing w:after="0" w:line="276" w:lineRule="auto"/>
              <w:ind w:firstLine="0"/>
            </w:pPr>
            <w:r>
              <w:rPr>
                <w:b w:val="0"/>
                <w:sz w:val="20"/>
              </w:rPr>
              <w:t>机制解释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645472">
            <w:pPr>
              <w:spacing w:after="0" w:line="276" w:lineRule="auto"/>
              <w:ind w:firstLine="0"/>
            </w:pPr>
            <w:r>
              <w:rPr>
                <w:b w:val="0"/>
                <w:sz w:val="20"/>
              </w:rPr>
              <w:t>现象稳定且变量可操纵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FFEC1B">
            <w:pPr>
              <w:spacing w:after="0" w:line="276" w:lineRule="auto"/>
              <w:ind w:firstLine="0"/>
            </w:pPr>
            <w:r>
              <w:rPr>
                <w:b w:val="0"/>
                <w:sz w:val="20"/>
              </w:rPr>
              <w:t>机制证据与适用条件</w:t>
            </w:r>
          </w:p>
        </w:tc>
      </w:tr>
      <w:tr w14:paraId="3A56DE74"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8FE60">
            <w:pPr>
              <w:spacing w:after="0" w:line="276" w:lineRule="auto"/>
              <w:ind w:firstLine="0"/>
            </w:pPr>
            <w:r>
              <w:rPr>
                <w:b w:val="0"/>
                <w:sz w:val="20"/>
              </w:rPr>
              <w:t>评测创新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B18FD">
            <w:pPr>
              <w:spacing w:after="0" w:line="276" w:lineRule="auto"/>
              <w:ind w:firstLine="0"/>
            </w:pPr>
            <w:r>
              <w:rPr>
                <w:b w:val="0"/>
                <w:sz w:val="20"/>
              </w:rPr>
              <w:t>能力需求与评价存在落差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02694">
            <w:pPr>
              <w:spacing w:after="0" w:line="276" w:lineRule="auto"/>
              <w:ind w:firstLine="0"/>
            </w:pPr>
            <w:r>
              <w:rPr>
                <w:b w:val="0"/>
                <w:sz w:val="20"/>
              </w:rPr>
              <w:t>任务协议与有效指标</w:t>
            </w:r>
          </w:p>
        </w:tc>
      </w:tr>
    </w:tbl>
    <w:p w14:paraId="58E65BCE">
      <w:pPr>
        <w:spacing w:before="120"/>
      </w:pPr>
      <w:r>
        <w:t>资源评估应覆盖数据取得、标注、环境维护、模型运行和结果核验。只有调用成本低，并不足以保证项目容易完成。可以先选择一个任务、一类约束和少量对照，完成最小研究闭环，再增加模型或任务范围。这样能够较早判断证据是否足够、改进是否有意义，并控制后期返工成本。</w:t>
      </w:r>
    </w:p>
    <w:p w14:paraId="13308D8B">
      <w:pPr>
        <w:pStyle w:val="4"/>
      </w:pPr>
      <w:r>
        <w:t>4.2 沿同一问题积累成果</w:t>
      </w:r>
    </w:p>
    <w:p w14:paraId="4BB208A4">
      <w:r>
        <w:t>三条路径可以组成连续的研究链条。以权限变化为例，先通过使用需求定义撤权后的信息边界，再定位缓存与记忆中的传播机制，随后形成包含时间事件的评测，最后比较处理方法。每一步都回应前一步留下的问题，已有数据与实验工具也可以持续复用，形成明确的研究积累。</w:t>
      </w:r>
    </w:p>
    <w:p w14:paraId="6056AB78">
      <w:r>
        <w:t>这种组织方式有助于建立研究者的长期优势。熟悉一类任务后，研究者更容易识别典型错误、判断对照是否公平，并提出针对性的改进。积累的资产既包括代码，也包括标注规则、失败案例、实验协议和对有效条件的认识。模型更新时，可以利用这些资产快速判断旧结论如何变化，继续推进同一研究主题。</w:t>
      </w:r>
    </w:p>
    <w:p w14:paraId="5D1F62A7">
      <w:pPr>
        <w:pStyle w:val="3"/>
      </w:pPr>
      <w:r>
        <w:t>5 面向研究生的实施流程</w:t>
      </w:r>
    </w:p>
    <w:p w14:paraId="104ECF87">
      <w:pPr>
        <w:pStyle w:val="4"/>
      </w:pPr>
      <w:r>
        <w:t>5.1 从问题卡片到最小实验</w:t>
      </w:r>
    </w:p>
    <w:p w14:paraId="29F8FB24">
      <w:r>
        <w:t>启动阶段先形成研究问题卡片，写清问题影响谁、已有方法存在什么不足、准备检验什么假设、需要什么数据、用哪些指标评价，以及预期形成什么成果。文献检索围绕这些要素展开，将相近工作的问题设置、核心假设和实验条件逐项对应，确定自己计划补充的知识。</w:t>
      </w:r>
    </w:p>
    <w:p w14:paraId="5A0A38FC">
      <w:r>
        <w:t>随后建立强而简单的基线，并通过小规模实验检查现象是否可重复。可以从几十至上百个案例开始整理错误类型，优先查看最能区分竞争性解释的案例。如果表现变化来自实现错误，就先修正实现；如果收益来自增加输入或调用预算，就加入相同预算的比较。探索阶段的产出是可复现现象、候选解释和下一步实验矩阵。</w:t>
      </w:r>
    </w:p>
    <w:p w14:paraId="66AB0C3E">
      <w:pPr>
        <w:pStyle w:val="4"/>
      </w:pPr>
      <w:r>
        <w:t>5.2 分离探索与验证</w:t>
      </w:r>
    </w:p>
    <w:p w14:paraId="68B20685">
      <w:r>
        <w:t>正式验证前固定主要假设、对照方法和评价规则，把探索数据与最终验证数据分开。对于随机生成和交互任务，重复运行并报告波动；对于机制解释，预留独立任务检验预测。结果分析同时呈现有效与无效条件，说明哪些因素改变了效果，以及结论能够推广到什么范围。</w:t>
      </w:r>
    </w:p>
    <w:p w14:paraId="3AAE1A93">
      <w:r>
        <w:t>项目还需要提前设定调整条件。如果简单基线已经解决主要问题，可以转向解释基线为何有效；如果数据质量不足以支撑关键判断，应先缩小结论或补充数据；如果结果仅在特定模型下出现，可以将研究目标收窄到该模型的行为机制。每次调整都保留依据，使选题逐步聚焦。</w:t>
      </w:r>
    </w:p>
    <w:p w14:paraId="1335124B">
      <w:pPr>
        <w:pStyle w:val="4"/>
      </w:pPr>
      <w:r>
        <w:t>5.3 形成可复用的人机协作记录</w:t>
      </w:r>
    </w:p>
    <w:p w14:paraId="467C02F8">
      <w:r>
        <w:t>人机协作应贯穿整个流程。文献阶段用模型扩展检索词并核对原文，实验阶段用模型草拟代码和整理日志，分析阶段用模型提出竞争性解释与补充实验。研究者记录采用了哪些建议、依据是什么，以及后续证据是否支持，逐步形成适合自身课题的工作方式。</w:t>
      </w:r>
    </w:p>
    <w:p w14:paraId="38AA6C6B">
      <w:r>
        <w:t>实验记录至少包括模型版本、提示词、工具权限、运行预算和人工干预。使用模型评分时，明确评分标准并抽查原始案例；涉及关键结论时，核对评价与实际任务目标的对应关系。最终交付研究报告、必要代码、数据说明和复现实验步骤，使研究成果能够被他人检查与继续使用。</w:t>
      </w:r>
    </w:p>
    <w:p w14:paraId="70D820D8">
      <w:r>
        <w:t>本文给出的方案用于说明选题的具体化方式，实际采用前还需核对已有工作、数据条件和任务需求。研究者可以根据合作资源与课程周期调整规模，围绕一个问题完成充分验证，并将尚待解决的部分明确留给后续研究。</w:t>
      </w:r>
    </w:p>
    <w:p w14:paraId="79F7D267">
      <w:pPr>
        <w:pStyle w:val="3"/>
      </w:pPr>
      <w:r>
        <w:t>6 结论</w:t>
      </w:r>
    </w:p>
    <w:p w14:paraId="3501986F">
      <w:r>
        <w:t>大模型为RAG与Agent研究提供了更高效的实现和探索工具。研究者可以将节省的时间投入问题定义、机制分析与有效评价，从真实约束中发现需求，通过控制实验解释现象，再以可复用的评测检验改进。三条路径共同指向清楚的问题、可靠的证据和可推广的认识。围绕具体问题持续积累案例、规则与实验资产，能够使工具效率转化为研究深度，也为后续方法创新建立基础。</w:t>
      </w:r>
    </w:p>
    <w:p w14:paraId="5AB9FD95">
      <w:pPr>
        <w:pStyle w:val="3"/>
      </w:pPr>
      <w:r>
        <w:t>参考文献</w:t>
      </w:r>
    </w:p>
    <w:p w14:paraId="17580E18">
      <w:pPr>
        <w:spacing w:after="100" w:line="276" w:lineRule="auto"/>
        <w:ind w:firstLine="0"/>
      </w:pPr>
      <w:r>
        <w:rPr>
          <w:sz w:val="18"/>
        </w:rPr>
        <w:t>[1] Lewis P, Perez E, Piktus A, et al. Retrieval-augmented generation for knowledge-intensive NLP tasks[C]//Advances in Neural Information Processing Systems 33. 2020: 9459-9474. arXiv:2005.11401.</w:t>
      </w:r>
    </w:p>
    <w:p w14:paraId="622AFDD3">
      <w:pPr>
        <w:spacing w:after="100" w:line="276" w:lineRule="auto"/>
        <w:ind w:firstLine="0"/>
      </w:pPr>
      <w:r>
        <w:rPr>
          <w:sz w:val="18"/>
        </w:rPr>
        <w:t>[2] Yao S, Zhao J, Yu D, et al. ReAct: Synergizing reasoning and acting in language models[C]//International Conference on Learning Representations. 2023. arXiv:2210.03629.</w:t>
      </w:r>
    </w:p>
    <w:p w14:paraId="5C7429B5">
      <w:pPr>
        <w:spacing w:after="100" w:line="276" w:lineRule="auto"/>
        <w:ind w:firstLine="0"/>
      </w:pPr>
      <w:r>
        <w:rPr>
          <w:sz w:val="18"/>
        </w:rPr>
        <w:t>[3] Si C, Yang D, Hashimoto T. Can LLMs generate novel research ideas? A large-scale human study with 100+ NLP researchers[C]//International Conference on Learning Representations. 2025. arXiv:2409.04109.</w:t>
      </w:r>
    </w:p>
    <w:p w14:paraId="56F52334">
      <w:pPr>
        <w:spacing w:after="100" w:line="276" w:lineRule="auto"/>
        <w:ind w:firstLine="0"/>
      </w:pPr>
      <w:r>
        <w:rPr>
          <w:sz w:val="18"/>
        </w:rPr>
        <w:t>[4] Dong G, Jin J, Li X, et al. RAG-Critic: Leveraging automated critic-guided agentic workflow for retrieval augmented generation[C]//Proceedings of the 63rd Annual Meeting of the Association for Computational Linguistics (Volume 1: Long Papers). Vienna: Association for Computational Linguistics, 2025: 3551-3578. DOI:10.18653/v1/2025.acl-long.179.</w:t>
      </w:r>
    </w:p>
    <w:p w14:paraId="25A18A36">
      <w:pPr>
        <w:spacing w:after="100" w:line="276" w:lineRule="auto"/>
        <w:ind w:firstLine="0"/>
      </w:pPr>
      <w:r>
        <w:rPr>
          <w:sz w:val="18"/>
        </w:rPr>
        <w:t>[5] Levy S, Mazor N, Shalmon L, et al. More documents, same length: Isolating the challenge of multiple documents in RAG[C]//Findings of the Association for Computational Linguistics: EMNLP 2025. 2025. arXiv:2503.04388.</w:t>
      </w:r>
    </w:p>
    <w:p w14:paraId="2BC6AC73">
      <w:pPr>
        <w:spacing w:after="100" w:line="276" w:lineRule="auto"/>
        <w:ind w:firstLine="0"/>
      </w:pPr>
      <w:r>
        <w:rPr>
          <w:sz w:val="18"/>
        </w:rPr>
        <w:t>[6] Liu X, Yu H, Zhang H, et al. AgentBench: Evaluating LLMs as agents[C]//International Conference on Learning Representations. 2024. arXiv:2308.03688.</w:t>
      </w:r>
    </w:p>
    <w:p w14:paraId="50772BBC">
      <w:pPr>
        <w:spacing w:after="100" w:line="276" w:lineRule="auto"/>
        <w:ind w:firstLine="0"/>
      </w:pPr>
      <w:r>
        <w:rPr>
          <w:sz w:val="18"/>
        </w:rPr>
        <w:t>[7] Yang X, Sun K, Xin H, et al. CRAG — Comprehensive RAG benchmark[C]//Advances in Neural Information Processing Systems 37: Datasets and Benchmarks Track. 2024. arXiv:2406.04744.</w:t>
      </w:r>
    </w:p>
    <w:p w14:paraId="3A43BDEB">
      <w:pPr>
        <w:spacing w:after="100" w:line="276" w:lineRule="auto"/>
        <w:ind w:firstLine="0"/>
      </w:pPr>
      <w:r>
        <w:rPr>
          <w:sz w:val="18"/>
        </w:rPr>
        <w:t>[8] Su H, Yen H, Xia M, et al. BRIGHT: A realistic and challenging benchmark for reasoning-intensive retrieval[EB/OL]. arXiv:2407.12883, 2024. https://arxiv.org/abs/2407.12883.</w:t>
      </w:r>
    </w:p>
    <w:p w14:paraId="4025C88A">
      <w:pPr>
        <w:spacing w:after="100" w:line="276" w:lineRule="auto"/>
        <w:ind w:firstLine="0"/>
      </w:pPr>
      <w:r>
        <w:rPr>
          <w:sz w:val="18"/>
        </w:rPr>
        <w:t>[9] Gao T, Yen H, Yu J, et al. Enabling large language models to generate text with citations[C]//Proceedings of the 2023 Conference on Empirical Methods in Natural Language Processing. 2023. arXiv:2305.14627.</w:t>
      </w:r>
    </w:p>
    <w:sectPr>
      <w:pgSz w:w="11906" w:h="16838"/>
      <w:pgMar w:top="1332" w:right="1474" w:bottom="1276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69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300" w:lineRule="auto"/>
      <w:ind w:firstLine="440"/>
    </w:pPr>
    <w:rPr>
      <w:rFonts w:ascii="Times New Roman" w:hAnsi="Times New Roman" w:eastAsia="Songti SC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ind w:firstLine="0"/>
      <w:outlineLvl w:val="0"/>
    </w:pPr>
    <w:rPr>
      <w:rFonts w:ascii="Times New Roman" w:hAnsi="Times New Roman" w:eastAsia="Heiti SC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00"/>
      <w:ind w:firstLine="0"/>
      <w:outlineLvl w:val="1"/>
    </w:pPr>
    <w:rPr>
      <w:rFonts w:ascii="Times New Roman" w:hAnsi="Times New Roman" w:eastAsia="Heiti SC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20" w:line="240" w:lineRule="auto"/>
      <w:ind w:firstLine="0"/>
      <w:contextualSpacing/>
    </w:pPr>
    <w:rPr>
      <w:rFonts w:ascii="Times New Roman" w:hAnsi="Times New Roman" w:eastAsia="Heiti SC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keywords>RAG, Agent, 科研选题, 失效分析, 评测</cp:keywords>
  <cp:lastModifiedBy>Miyashiro</cp:lastModifiedBy>
  <dcterms:modified xsi:type="dcterms:W3CDTF">2026-10-21T10:08:12Z</dcterms:modified>
  <dc:subject>课程报告</dc:subject>
  <dc:title>大模型辅助科研背景下的RAG与Agent研究策略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EC08F7C7FA0301B38C1ED86AEAEC65E8_42</vt:lpwstr>
  </property>
</Properties>
</file>