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CFB7" w14:textId="77777777" w:rsidR="0012552B" w:rsidRDefault="00000000">
      <w:pPr>
        <w:jc w:val="center"/>
      </w:pPr>
      <w:r>
        <w:rPr>
          <w:rFonts w:ascii="Microsoft YaHei" w:eastAsia="Microsoft YaHei" w:hAnsi="Microsoft YaHei"/>
          <w:b/>
          <w:sz w:val="30"/>
        </w:rPr>
        <w:t>表 商用信号源/AWG 与本作品指标对比</w:t>
      </w:r>
    </w:p>
    <w:tbl>
      <w:tblPr>
        <w:tblW w:w="0" w:type="auto"/>
        <w:jc w:val="center"/>
        <w:tblInd w:w="8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6" w:space="0" w:color="A6A6A6"/>
          <w:insideV w:val="single" w:sz="6" w:space="0" w:color="A6A6A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100"/>
        <w:gridCol w:w="2100"/>
        <w:gridCol w:w="2100"/>
        <w:gridCol w:w="2100"/>
      </w:tblGrid>
      <w:tr w:rsidR="0012552B" w14:paraId="0F5C6612" w14:textId="77777777">
        <w:tc>
          <w:tcPr>
            <w:tcW w:w="1700" w:type="dxa"/>
            <w:shd w:val="clear" w:color="auto" w:fill="D9EAF7"/>
            <w:vAlign w:val="center"/>
          </w:tcPr>
          <w:p w14:paraId="2ADD6C22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对比指标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0B8A273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本作品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4E0F8B80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RIGOL DG4202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4567868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Keysight 33622A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2FA047B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SIGLENT SDG7052A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32EB7E6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Keysight M8195A</w:t>
            </w:r>
          </w:p>
        </w:tc>
      </w:tr>
      <w:tr w:rsidR="0012552B" w14:paraId="654AF957" w14:textId="77777777">
        <w:tc>
          <w:tcPr>
            <w:tcW w:w="1700" w:type="dxa"/>
            <w:shd w:val="clear" w:color="auto" w:fill="F2F6FB"/>
            <w:vAlign w:val="center"/>
          </w:tcPr>
          <w:p w14:paraId="66C48CA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仪器定位</w:t>
            </w:r>
          </w:p>
        </w:tc>
        <w:tc>
          <w:tcPr>
            <w:tcW w:w="2100" w:type="dxa"/>
            <w:vAlign w:val="center"/>
          </w:tcPr>
          <w:p w14:paraId="1D55449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开放式宽带 AWG 原型</w:t>
            </w:r>
          </w:p>
        </w:tc>
        <w:tc>
          <w:tcPr>
            <w:tcW w:w="2100" w:type="dxa"/>
            <w:vAlign w:val="center"/>
          </w:tcPr>
          <w:p w14:paraId="6B34AE0A" w14:textId="17529E1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普通商用函数</w:t>
            </w:r>
          </w:p>
        </w:tc>
        <w:tc>
          <w:tcPr>
            <w:tcW w:w="2100" w:type="dxa"/>
            <w:vAlign w:val="center"/>
          </w:tcPr>
          <w:p w14:paraId="5F05B26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中高端通用信号发生器</w:t>
            </w:r>
          </w:p>
        </w:tc>
        <w:tc>
          <w:tcPr>
            <w:tcW w:w="2100" w:type="dxa"/>
            <w:vAlign w:val="center"/>
          </w:tcPr>
          <w:p w14:paraId="78996A6F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高速商用任意波形发生器</w:t>
            </w:r>
          </w:p>
        </w:tc>
        <w:tc>
          <w:tcPr>
            <w:tcW w:w="2100" w:type="dxa"/>
            <w:vAlign w:val="center"/>
          </w:tcPr>
          <w:p w14:paraId="309528CC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高端高速 AWG</w:t>
            </w:r>
          </w:p>
        </w:tc>
      </w:tr>
      <w:tr w:rsidR="0012552B" w14:paraId="4B46CFCD" w14:textId="77777777">
        <w:tc>
          <w:tcPr>
            <w:tcW w:w="1700" w:type="dxa"/>
            <w:shd w:val="clear" w:color="auto" w:fill="F2F6FB"/>
            <w:vAlign w:val="center"/>
          </w:tcPr>
          <w:p w14:paraId="084C79A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采样率</w:t>
            </w:r>
          </w:p>
        </w:tc>
        <w:tc>
          <w:tcPr>
            <w:tcW w:w="2100" w:type="dxa"/>
            <w:vAlign w:val="center"/>
          </w:tcPr>
          <w:p w14:paraId="78E345CB" w14:textId="4FE7740E" w:rsidR="0012552B" w:rsidRDefault="00000000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sz w:val="17"/>
              </w:rPr>
              <w:t xml:space="preserve">11.79648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GS</w:t>
            </w:r>
            <w:r w:rsidR="002F73DD">
              <w:rPr>
                <w:rFonts w:ascii="Microsoft YaHei" w:eastAsia="Microsoft YaHei" w:hint="eastAsia" w:hAnsi="Microsoft YaHei"/>
                <w:sz w:val="17"/>
              </w:rPr>
              <w:t>a</w:t>
            </w:r>
            <w:proofErr w:type="spellEnd"/>
            <w:r w:rsidR="002F73DD">
              <w:rPr>
                <w:rFonts w:ascii="Microsoft YaHei" w:eastAsia="Microsoft YaHei" w:hint="eastAsia" w:hAnsi="Microsoft YaHei"/>
                <w:sz w:val="17"/>
              </w:rPr>
              <w:t>/S</w:t>
            </w:r>
          </w:p>
        </w:tc>
        <w:tc>
          <w:tcPr>
            <w:tcW w:w="2100" w:type="dxa"/>
            <w:vAlign w:val="center"/>
          </w:tcPr>
          <w:p w14:paraId="41F965F2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500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MSa</w:t>
            </w:r>
            <w:proofErr w:type="spellEnd"/>
            <w:r>
              <w:rPr>
                <w:rFonts w:ascii="Microsoft YaHei" w:eastAsia="Microsoft YaHei" w:hAnsi="Microsoft YaHei"/>
                <w:sz w:val="17"/>
              </w:rPr>
              <w:t>/s</w:t>
            </w:r>
          </w:p>
        </w:tc>
        <w:tc>
          <w:tcPr>
            <w:tcW w:w="2100" w:type="dxa"/>
            <w:vAlign w:val="center"/>
          </w:tcPr>
          <w:p w14:paraId="17C8CFA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1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GSa</w:t>
            </w:r>
            <w:proofErr w:type="spellEnd"/>
            <w:r>
              <w:rPr>
                <w:rFonts w:ascii="Microsoft YaHei" w:eastAsia="Microsoft YaHei" w:hAnsi="Microsoft YaHei"/>
                <w:sz w:val="17"/>
              </w:rPr>
              <w:t>/s</w:t>
            </w:r>
          </w:p>
        </w:tc>
        <w:tc>
          <w:tcPr>
            <w:tcW w:w="2100" w:type="dxa"/>
            <w:vAlign w:val="center"/>
          </w:tcPr>
          <w:p w14:paraId="0DD3123D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5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GSa</w:t>
            </w:r>
            <w:proofErr w:type="spellEnd"/>
            <w:r>
              <w:rPr>
                <w:rFonts w:ascii="Microsoft YaHei" w:eastAsia="Microsoft YaHei" w:hAnsi="Microsoft YaHei"/>
                <w:sz w:val="17"/>
              </w:rPr>
              <w:t>/s</w:t>
            </w:r>
          </w:p>
        </w:tc>
        <w:tc>
          <w:tcPr>
            <w:tcW w:w="2100" w:type="dxa"/>
            <w:vAlign w:val="center"/>
          </w:tcPr>
          <w:p w14:paraId="756F561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最高 65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GSa</w:t>
            </w:r>
            <w:proofErr w:type="spellEnd"/>
            <w:r>
              <w:rPr>
                <w:rFonts w:ascii="Microsoft YaHei" w:eastAsia="Microsoft YaHei" w:hAnsi="Microsoft YaHei"/>
                <w:sz w:val="17"/>
              </w:rPr>
              <w:t>/s</w:t>
            </w:r>
          </w:p>
        </w:tc>
      </w:tr>
      <w:tr w:rsidR="0012552B" w14:paraId="578325CF" w14:textId="77777777">
        <w:tc>
          <w:tcPr>
            <w:tcW w:w="1700" w:type="dxa"/>
            <w:shd w:val="clear" w:color="auto" w:fill="F2F6FB"/>
            <w:vAlign w:val="center"/>
          </w:tcPr>
          <w:p w14:paraId="769ED9B0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输出带宽 / 最高频率</w:t>
            </w:r>
          </w:p>
        </w:tc>
        <w:tc>
          <w:tcPr>
            <w:tcW w:w="2100" w:type="dxa"/>
            <w:vAlign w:val="center"/>
          </w:tcPr>
          <w:p w14:paraId="47123C8F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DC-2 GHz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μHz-200 MHz；Arb 1 μHz-50 MHz；Sweep 起止 1 μHz-200 MHz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μHz-120 MHz（≤4 Vpp）；≤8 Vpp 到 80 MHz；≤10 Vpp 到 60 MHz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μHz-500 MHz；Arb/AFG 1 μHz-50 MHz；可选 IQ 载波 0-1 GHz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模拟带宽 25 GHz；宽带 RF 瞬时带宽 DC-25 GHz；产品页频率范围 &gt;240 MHz</w:t>
            </w:r>
          </w:p>
        </w:tc>
      </w:tr>
      <w:tr w:rsidR="0012552B" w14:paraId="055934BF" w14:textId="77777777">
        <w:tc>
          <w:tcPr>
            <w:tcW w:w="1700" w:type="dxa"/>
            <w:shd w:val="clear" w:color="auto" w:fill="F2F6FB"/>
            <w:vAlign w:val="center"/>
          </w:tcPr>
          <w:p w14:paraId="5D4E4DDD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垂直分辨率</w:t>
            </w:r>
          </w:p>
        </w:tc>
        <w:tc>
          <w:tcPr>
            <w:tcW w:w="2100" w:type="dxa"/>
            <w:vAlign w:val="center"/>
          </w:tcPr>
          <w:p w14:paraId="200E050F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8 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bit</w:t>
            </w:r>
            <w:proofErr w:type="gramEnd"/>
          </w:p>
        </w:tc>
        <w:tc>
          <w:tcPr>
            <w:tcW w:w="2100" w:type="dxa"/>
            <w:vAlign w:val="center"/>
          </w:tcPr>
          <w:p w14:paraId="54E4C7E5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14 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bit</w:t>
            </w:r>
            <w:proofErr w:type="gramEnd"/>
          </w:p>
        </w:tc>
        <w:tc>
          <w:tcPr>
            <w:tcW w:w="2100" w:type="dxa"/>
            <w:vAlign w:val="center"/>
          </w:tcPr>
          <w:p w14:paraId="67D585E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14 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bit</w:t>
            </w:r>
            <w:proofErr w:type="gramEnd"/>
          </w:p>
        </w:tc>
        <w:tc>
          <w:tcPr>
            <w:tcW w:w="2100" w:type="dxa"/>
            <w:vAlign w:val="center"/>
          </w:tcPr>
          <w:p w14:paraId="057F472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14 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bit</w:t>
            </w:r>
            <w:proofErr w:type="gramEnd"/>
          </w:p>
        </w:tc>
        <w:tc>
          <w:tcPr>
            <w:tcW w:w="2100" w:type="dxa"/>
            <w:vAlign w:val="center"/>
          </w:tcPr>
          <w:p w14:paraId="7ED9D1F9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8 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bit</w:t>
            </w:r>
            <w:proofErr w:type="gramEnd"/>
          </w:p>
        </w:tc>
      </w:tr>
      <w:tr w:rsidR="0012552B" w14:paraId="58CC519F" w14:textId="77777777">
        <w:tc>
          <w:tcPr>
            <w:tcW w:w="1700" w:type="dxa"/>
            <w:shd w:val="clear" w:color="auto" w:fill="F2F6FB"/>
            <w:vAlign w:val="center"/>
          </w:tcPr>
          <w:p w14:paraId="4A493D75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最小频率</w:t>
            </w:r>
          </w:p>
        </w:tc>
        <w:tc>
          <w:tcPr>
            <w:tcW w:w="2100" w:type="dxa"/>
            <w:vAlign w:val="center"/>
          </w:tcPr>
          <w:p w14:paraId="76C7829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DC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μHz（正弦/扫频起止频率）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μHz（正弦/方波/脉冲/斜波等）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μHz（正弦/Arb/方波/脉冲）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非函数发生器式频率旋钮；周期波形最低基频按 Fs/N。16 GSa、53.76 GSa/s 时约 3.36 Hz；65 GSa/s 时约 4.06 Hz</w:t>
            </w:r>
          </w:p>
        </w:tc>
      </w:tr>
      <w:tr w:rsidR="0012552B" w14:paraId="007F3309" w14:textId="77777777">
        <w:tc>
          <w:tcPr>
            <w:tcW w:w="1700" w:type="dxa"/>
            <w:shd w:val="clear" w:color="auto" w:fill="F2F6FB"/>
            <w:vAlign w:val="center"/>
          </w:tcPr>
          <w:p w14:paraId="3164292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频率分辨率</w:t>
            </w:r>
          </w:p>
        </w:tc>
        <w:tc>
          <w:tcPr>
            <w:tcW w:w="2100" w:type="dxa"/>
            <w:vAlign w:val="center"/>
          </w:tcPr>
          <w:p w14:paraId="6A8AFE87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0.01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mHz</w:t>
            </w:r>
            <w:proofErr w:type="spellEnd"/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 Fs/N 决定；16 GSa 记录约 3.36-4.06 Hz/周期；采样时间步进 15.38 ps @65 GSa/s</w:t>
            </w:r>
          </w:p>
        </w:tc>
      </w:tr>
      <w:tr w:rsidR="0012552B" w14:paraId="2E970EA3" w14:textId="77777777">
        <w:tc>
          <w:tcPr>
            <w:tcW w:w="1700" w:type="dxa"/>
            <w:shd w:val="clear" w:color="auto" w:fill="F2F6FB"/>
            <w:vAlign w:val="center"/>
          </w:tcPr>
          <w:p w14:paraId="78CF0275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最小输出幅度</w:t>
            </w:r>
          </w:p>
        </w:tc>
        <w:tc>
          <w:tcPr>
            <w:tcW w:w="2100" w:type="dxa"/>
            <w:vAlign w:val="center"/>
          </w:tcPr>
          <w:p w14:paraId="389E3C0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1 mV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Ω）；2 mVpp（开路）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官方未列通用最小幅度；按 8-bit 全幅估算 1 LSB≈3.9 mV(se) 或 7.8 mV(diff)</w:t>
            </w:r>
          </w:p>
        </w:tc>
      </w:tr>
      <w:tr w:rsidR="0012552B" w14:paraId="7800834A" w14:textId="77777777">
        <w:tc>
          <w:tcPr>
            <w:tcW w:w="1700" w:type="dxa"/>
            <w:shd w:val="clear" w:color="auto" w:fill="F2F6FB"/>
            <w:vAlign w:val="center"/>
          </w:tcPr>
          <w:p w14:paraId="741953FC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最大输出幅度</w:t>
            </w:r>
          </w:p>
        </w:tc>
        <w:tc>
          <w:tcPr>
            <w:tcW w:w="2100" w:type="dxa"/>
            <w:vAlign w:val="center"/>
          </w:tcPr>
          <w:p w14:paraId="0AB7E369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3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Vpp</w:t>
            </w:r>
            <w:proofErr w:type="spellEnd"/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Vpp ≤20 MHz；5 Vpp ≤70 MHz；2.5 Vpp ≤120 MHz；1 Vpp ≤200 MHz（50 Ω）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Vpp（50 Ω）；20 Vpp（开路）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12 Vpp ≤40 MHz；6 Vpp 40-120 MHz；3 Vpp &gt;120 MHz（50 Ω）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Vpp 单端；2 Vpp 差分；电压窗口 -1.0 V 到 +3.3 V</w:t>
            </w:r>
          </w:p>
        </w:tc>
      </w:tr>
      <w:tr w:rsidR="0012552B" w14:paraId="48139D6D" w14:textId="77777777">
        <w:tc>
          <w:tcPr>
            <w:tcW w:w="1700" w:type="dxa"/>
            <w:shd w:val="clear" w:color="auto" w:fill="F2F6FB"/>
            <w:vAlign w:val="center"/>
          </w:tcPr>
          <w:p w14:paraId="46B9A8C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幅度精度</w:t>
            </w:r>
          </w:p>
        </w:tc>
        <w:tc>
          <w:tcPr>
            <w:tcW w:w="2100" w:type="dxa"/>
            <w:vAlign w:val="center"/>
          </w:tcPr>
          <w:p w14:paraId="5B8C3CD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 xml:space="preserve">1 </w:t>
            </w:r>
            <w:proofErr w:type="spellStart"/>
            <w:r>
              <w:rPr>
                <w:rFonts w:ascii="Microsoft YaHei" w:eastAsia="Microsoft YaHei" w:hAnsi="Microsoft YaHei"/>
                <w:sz w:val="17"/>
              </w:rPr>
              <w:t>mVpp</w:t>
            </w:r>
            <w:proofErr w:type="spellEnd"/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of setting + 2 mVpp)，1 kHz 正弦、0 V offset、&gt;10 mVpp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of setting + 1 mVpp)，1 kHz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+ 1 mVpp)，10 kHz 正弦、0 V offset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内置频响/相响校准；官方未列通用函数发生器式幅度精度</w:t>
            </w:r>
          </w:p>
        </w:tc>
      </w:tr>
      <w:tr w:rsidR="0012552B" w14:paraId="1BC6CA5D" w14:textId="77777777">
        <w:tc>
          <w:tcPr>
            <w:tcW w:w="1700" w:type="dxa"/>
            <w:shd w:val="clear" w:color="auto" w:fill="F2F6FB"/>
            <w:vAlign w:val="center"/>
          </w:tcPr>
          <w:p w14:paraId="1EC9B9E0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扫频功能</w:t>
            </w:r>
          </w:p>
        </w:tc>
        <w:tc>
          <w:tcPr>
            <w:tcW w:w="2100" w:type="dxa"/>
            <w:vAlign w:val="center"/>
          </w:tcPr>
          <w:p w14:paraId="3BEC9AF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线性/对数扫频</w:t>
            </w:r>
          </w:p>
        </w:tc>
        <w:tc>
          <w:tcPr>
            <w:tcW w:w="2100" w:type="dxa"/>
            <w:vAlign w:val="center"/>
          </w:tcPr>
          <w:p w14:paraId="7F01F8B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支持</w:t>
            </w:r>
          </w:p>
        </w:tc>
        <w:tc>
          <w:tcPr>
            <w:tcW w:w="2100" w:type="dxa"/>
            <w:vAlign w:val="center"/>
          </w:tcPr>
          <w:p w14:paraId="09AEFEB7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支持</w:t>
            </w:r>
          </w:p>
        </w:tc>
        <w:tc>
          <w:tcPr>
            <w:tcW w:w="2100" w:type="dxa"/>
            <w:vAlign w:val="center"/>
          </w:tcPr>
          <w:p w14:paraId="196E668F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支持</w:t>
            </w:r>
          </w:p>
        </w:tc>
        <w:tc>
          <w:tcPr>
            <w:tcW w:w="2100" w:type="dxa"/>
            <w:vAlign w:val="center"/>
          </w:tcPr>
          <w:p w14:paraId="3B6138A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支持复杂波形序列</w:t>
            </w:r>
          </w:p>
        </w:tc>
      </w:tr>
      <w:tr w:rsidR="0012552B" w14:paraId="2AB4F91C" w14:textId="77777777">
        <w:tc>
          <w:tcPr>
            <w:tcW w:w="1700" w:type="dxa"/>
            <w:shd w:val="clear" w:color="auto" w:fill="F2F6FB"/>
            <w:vAlign w:val="center"/>
          </w:tcPr>
          <w:p w14:paraId="344E2302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t>开放性</w:t>
            </w:r>
          </w:p>
        </w:tc>
        <w:tc>
          <w:tcPr>
            <w:tcW w:w="2100" w:type="dxa"/>
            <w:vAlign w:val="center"/>
          </w:tcPr>
          <w:p w14:paraId="34A1D9AC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FPGA / UDP / JESD / RAM 链路可修改</w:t>
            </w:r>
          </w:p>
        </w:tc>
        <w:tc>
          <w:tcPr>
            <w:tcW w:w="2100" w:type="dxa"/>
            <w:vAlign w:val="center"/>
          </w:tcPr>
          <w:p w14:paraId="40285C1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封闭</w:t>
            </w:r>
          </w:p>
        </w:tc>
        <w:tc>
          <w:tcPr>
            <w:tcW w:w="2100" w:type="dxa"/>
            <w:vAlign w:val="center"/>
          </w:tcPr>
          <w:p w14:paraId="67610E6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封闭</w:t>
            </w:r>
          </w:p>
        </w:tc>
        <w:tc>
          <w:tcPr>
            <w:tcW w:w="2100" w:type="dxa"/>
            <w:vAlign w:val="center"/>
          </w:tcPr>
          <w:p w14:paraId="11728CE4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封闭</w:t>
            </w:r>
          </w:p>
        </w:tc>
        <w:tc>
          <w:tcPr>
            <w:tcW w:w="2100" w:type="dxa"/>
            <w:vAlign w:val="center"/>
          </w:tcPr>
          <w:p w14:paraId="7293C9E3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封闭</w:t>
            </w:r>
          </w:p>
        </w:tc>
      </w:tr>
      <w:tr w:rsidR="0012552B" w14:paraId="2828A47A" w14:textId="77777777">
        <w:tc>
          <w:tcPr>
            <w:tcW w:w="1700" w:type="dxa"/>
            <w:shd w:val="clear" w:color="auto" w:fill="F2F6FB"/>
            <w:vAlign w:val="center"/>
          </w:tcPr>
          <w:p w14:paraId="7BC57385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b/>
                <w:sz w:val="17"/>
              </w:rPr>
              <w:lastRenderedPageBreak/>
              <w:t>综合特点</w:t>
            </w:r>
          </w:p>
        </w:tc>
        <w:tc>
          <w:tcPr>
            <w:tcW w:w="2100" w:type="dxa"/>
            <w:vAlign w:val="center"/>
          </w:tcPr>
          <w:p w14:paraId="60EDB90A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采样率高、带宽</w:t>
            </w:r>
            <w:proofErr w:type="gramStart"/>
            <w:r>
              <w:rPr>
                <w:rFonts w:ascii="Microsoft YaHei" w:eastAsia="Microsoft YaHei" w:hAnsi="Microsoft YaHei"/>
                <w:sz w:val="17"/>
              </w:rPr>
              <w:t>宽</w:t>
            </w:r>
            <w:proofErr w:type="gramEnd"/>
            <w:r>
              <w:rPr>
                <w:rFonts w:ascii="Microsoft YaHei" w:eastAsia="Microsoft YaHei" w:hAnsi="Microsoft YaHei"/>
                <w:sz w:val="17"/>
              </w:rPr>
              <w:t>、结构开放、便于二次开发</w:t>
            </w:r>
          </w:p>
        </w:tc>
        <w:tc>
          <w:tcPr>
            <w:tcW w:w="2100" w:type="dxa"/>
            <w:vAlign w:val="center"/>
          </w:tcPr>
          <w:p w14:paraId="1AE09B10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成本较低、易使用，但带宽有限</w:t>
            </w:r>
          </w:p>
        </w:tc>
        <w:tc>
          <w:tcPr>
            <w:tcW w:w="2100" w:type="dxa"/>
            <w:vAlign w:val="center"/>
          </w:tcPr>
          <w:p w14:paraId="35A973E7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稳定可靠，适合通用测试</w:t>
            </w:r>
          </w:p>
        </w:tc>
        <w:tc>
          <w:tcPr>
            <w:tcW w:w="2100" w:type="dxa"/>
            <w:vAlign w:val="center"/>
          </w:tcPr>
          <w:p w14:paraId="40D03C82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性能较强，但仍为封闭仪器</w:t>
            </w:r>
          </w:p>
        </w:tc>
        <w:tc>
          <w:tcPr>
            <w:tcW w:w="2100" w:type="dxa"/>
            <w:vAlign w:val="center"/>
          </w:tcPr>
          <w:p w14:paraId="0FAE2E08" w14:textId="77777777" w:rsidR="0012552B" w:rsidRDefault="00000000">
            <w:pPr>
              <w:jc w:val="center"/>
            </w:pPr>
            <w:r>
              <w:rPr>
                <w:rFonts w:ascii="Microsoft YaHei" w:eastAsia="Microsoft YaHei" w:hAnsi="Microsoft YaHei"/>
                <w:sz w:val="17"/>
              </w:rPr>
              <w:t>性能顶级，但价格高、二次开发受限</w:t>
            </w:r>
          </w:p>
        </w:tc>
      </w:tr>
    </w:tbl>
    <w:p w14:paraId="3A3A9F4F" w14:textId="77777777" w:rsidR="0012552B" w:rsidRDefault="00000000">
      <w:r>
        <w:rPr>
          <w:rFonts w:ascii="Microsoft YaHei" w:eastAsia="Microsoft YaHei" w:hAnsi="Microsoft YaHei"/>
          <w:sz w:val="18"/>
        </w:rPr>
        <w:t>从对比可以看出，本作品在采样率、输出带宽和开放可重构性方面明显优于普通函数/任意波形发生器；与高端商用 AWG 相比，本作品在校准完整性和垂直分辨率方面仍有提升空间，但具备成本更低、结构透明、可修改底层数据链路等优势，更适合竞赛验证、科研实验和国产化仪器原型开发。</w:t>
      </w:r>
    </w:p>
    <w:p w14:paraId="75FE5C02" w14:textId="77777777" w:rsidR="0012552B" w:rsidRDefault="00000000">
      <w:r>
        <w:rPr>
          <w:rFonts w:ascii="Microsoft YaHei" w:eastAsia="Microsoft YaHei" w:hAnsi="Microsoft YaHei"/>
          <w:sz w:val="18"/>
        </w:rPr>
        <w:t>注：商用仪器指标用于典型型号横向对比，具体配置以对应型号官方数据手册为准。</w:t>
      </w:r>
    </w:p>
    <w:p>
      <w:r>
        <w:rPr>
          <w:rFonts w:ascii="Microsoft YaHei" w:hAnsi="Microsoft YaHei" w:eastAsia="Microsoft YaHei"/>
          <w:sz w:val="18"/>
        </w:rPr>
        <w:t>资料来源补充：RIGOL DG4000 数据表：DG4202 正弦 1 μHz-200 MHz、频率分辨率 1 μHz、50 Ω 幅度 1 mVpp-10/5/2.5/1 Vpp 分段、幅度精度 ±(1%+2 mVpp)。</w:t>
      </w:r>
    </w:p>
    <w:p>
      <w:r>
        <w:rPr>
          <w:rFonts w:ascii="Microsoft YaHei" w:hAnsi="Microsoft YaHei" w:eastAsia="Microsoft YaHei"/>
          <w:sz w:val="18"/>
        </w:rPr>
        <w:t>资料来源补充：Keysight 33600A 数据表：33622A 正弦 1 μHz-120 MHz、1 μHz 分辨率、50 Ω 幅度 1 mVpp-10 Vpp、幅度精度 ±(1%+1 mVpp)。</w:t>
      </w:r>
    </w:p>
    <w:p>
      <w:r>
        <w:rPr>
          <w:rFonts w:ascii="Microsoft YaHei" w:hAnsi="Microsoft YaHei" w:eastAsia="Microsoft YaHei"/>
          <w:sz w:val="18"/>
        </w:rPr>
        <w:t>资料来源补充：SIGLENT SDG7000A 数据表：SDG7052A 正弦 1 μHz-500 MHz、频率分辨率 1 μHz、50 Ω 正弦输出 1 mVpp-12/6/3 Vpp 分段、幅度精度 ±(1%+1 mVpp)。</w:t>
      </w:r>
    </w:p>
    <w:p>
      <w:r>
        <w:rPr>
          <w:rFonts w:ascii="Microsoft YaHei" w:hAnsi="Microsoft YaHei" w:eastAsia="Microsoft YaHei"/>
          <w:sz w:val="18"/>
        </w:rPr>
        <w:t>资料来源补充：Keysight M8195A 数据表/产品页：最高 65 GSa/s、25 GHz 模拟带宽、8-bit、16 GSa 存储、1 Vpp(se)/2 Vpp(diff)；频率类指标按任意波采样率与点数计算。</w:t>
      </w:r>
    </w:p>
    <w:p>
      <w:r>
        <w:rPr>
          <w:rFonts w:ascii="Microsoft YaHei" w:hAnsi="Microsoft YaHei" w:eastAsia="Microsoft YaHei"/>
          <w:sz w:val="16"/>
        </w:rPr>
        <w:t>https://www.batronix.com/pdf/Rigol/Datasheet/DG4000_DataSheet_EN.pdf</w:t>
      </w:r>
    </w:p>
    <w:p>
      <w:r>
        <w:rPr>
          <w:rFonts w:ascii="Microsoft YaHei" w:hAnsi="Microsoft YaHei" w:eastAsia="Microsoft YaHei"/>
          <w:sz w:val="18"/>
        </w:rPr>
        <w:t>https://www.keysight.com/us/en/assets/7018-04123/data-sheets-archived/5991-3272.pdf</w:t>
      </w:r>
    </w:p>
    <w:p>
      <w:r>
        <w:rPr>
          <w:rFonts w:ascii="Microsoft YaHei" w:hAnsi="Microsoft YaHei" w:eastAsia="Microsoft YaHei"/>
          <w:sz w:val="16"/>
        </w:rPr>
        <w:t>https://int.siglent.com/u_file/download/24_10_22/SDG7000A_Datasheet_EN01C.pdf</w:t>
      </w:r>
    </w:p>
    <w:p>
      <w:r>
        <w:rPr>
          <w:rFonts w:ascii="Microsoft YaHei" w:hAnsi="Microsoft YaHei" w:eastAsia="Microsoft YaHei"/>
          <w:sz w:val="18"/>
        </w:rPr>
        <w:t>https://www.keysight.com/us/en/product/M8195A/65-gsa-s-arbitrary-waveform-generator.html</w:t>
      </w:r>
    </w:p>
    <w:p>
      <w:r>
        <w:rPr>
          <w:rFonts w:ascii="Microsoft YaHei" w:hAnsi="Microsoft YaHei" w:eastAsia="Microsoft YaHei"/>
          <w:sz w:val="16"/>
        </w:rPr>
        <w:t>https://www.keysight.com/us/en/assets/7018-04509/data-sheets/5992-0014.pdf</w:t>
      </w:r>
    </w:p>
    <w:sectPr w:rsidR="0012552B">
      <w:pgSz w:w="16838" w:h="11906" w:orient="landscape"/>
      <w:pgMar w:top="720" w:right="540" w:bottom="72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9EDD" w14:textId="77777777" w:rsidR="000E0C8B" w:rsidRDefault="000E0C8B" w:rsidP="002F73DD">
      <w:pPr>
        <w:spacing w:after="0" w:line="240" w:lineRule="auto"/>
      </w:pPr>
      <w:r>
        <w:separator/>
      </w:r>
    </w:p>
  </w:endnote>
  <w:endnote w:type="continuationSeparator" w:id="0">
    <w:p w14:paraId="7E36E389" w14:textId="77777777" w:rsidR="000E0C8B" w:rsidRDefault="000E0C8B" w:rsidP="002F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D068D" w14:textId="77777777" w:rsidR="000E0C8B" w:rsidRDefault="000E0C8B" w:rsidP="002F73DD">
      <w:pPr>
        <w:spacing w:after="0" w:line="240" w:lineRule="auto"/>
      </w:pPr>
      <w:r>
        <w:separator/>
      </w:r>
    </w:p>
  </w:footnote>
  <w:footnote w:type="continuationSeparator" w:id="0">
    <w:p w14:paraId="0360CFDF" w14:textId="77777777" w:rsidR="000E0C8B" w:rsidRDefault="000E0C8B" w:rsidP="002F7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2B"/>
    <w:rsid w:val="000E0C8B"/>
    <w:rsid w:val="0012552B"/>
    <w:rsid w:val="002F73DD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70C0D"/>
  <w15:docId w15:val="{AECB93B0-AB36-48FD-9EBC-6B3E3D91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3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73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73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73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商用信号源AWG与本作品指标对比</dc:title>
  <dc:creator>Codex</dc:creator>
  <cp:lastModifiedBy>智伟 范</cp:lastModifiedBy>
  <cp:revision>2</cp:revision>
  <dcterms:created xsi:type="dcterms:W3CDTF">2026-06-20T10:33:00Z</dcterms:created>
  <dcterms:modified xsi:type="dcterms:W3CDTF">2026-06-20T10:33:00Z</dcterms:modified>
</cp:coreProperties>
</file>