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Cambios a la gramática – Objectilang</w:t>
      </w:r>
    </w:p>
    <w:p>
      <w:pPr/>
      <w:r>
        <w:rPr>
          <w:b/>
        </w:rPr>
        <w:t xml:space="preserve">ISIS-2111 PLE · Proyecto 2 · Grupo 13</w:t>
      </w:r>
      <w:r>
        <w:t xml:space="preserve"> Juan Manuel Forero Bohórquez (202514666) · Fergye Zhamyra Ortiz Gómez (202426021)</w:t>
      </w:r>
    </w:p>
    <w:p>
      <w:pPr/>
      <w:r>
        <w:rPr>
          <w:b/>
        </w:rPr>
        <w:t xml:space="preserve">Base utilizada:</w:t>
      </w:r>
      <w:r>
        <w:t xml:space="preserve"> nuestra propia solución del Proyecto 1 (Entrega 1, Grupo 13). No se usó la solución de otro grupo.</w:t>
      </w:r>
    </w:p>
    <w:p>
      <w:pPr>
        <w:pStyle w:val="Heading2"/>
      </w:pPr>
      <w:r>
        <w:t xml:space="preserve">1. Correcciones de la rúbrica del Proyecto 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0"/>
        <w:gridCol w:w="1741"/>
        <w:gridCol w:w="4889"/>
      </w:tblGrid>
      <w:tr>
        <w:trPr>
          <w:tblHeader/>
        </w:trPr>
        <w:tc>
          <w:tcPr>
            <w:tcW w:w="2730" w:type="dxa"/>
            <w:shd w:val="clear" w:color="auto" w:fill="F2F2F2"/>
          </w:tcPr>
          <w:p>
            <w:pPr/>
            <w:r>
              <w:t xml:space="preserve">Criterio</w:t>
            </w:r>
          </w:p>
        </w:tc>
        <w:tc>
          <w:tcPr>
            <w:tcW w:w="1741" w:type="dxa"/>
            <w:shd w:val="clear" w:color="auto" w:fill="F2F2F2"/>
          </w:tcPr>
          <w:p>
            <w:pPr/>
            <w:r>
              <w:t xml:space="preserve">Observación recibida</w:t>
            </w:r>
          </w:p>
        </w:tc>
        <w:tc>
          <w:tcPr>
            <w:tcW w:w="4889" w:type="dxa"/>
            <w:shd w:val="clear" w:color="auto" w:fill="F2F2F2"/>
          </w:tcPr>
          <w:p>
            <w:pPr/>
            <w:r>
              <w:t xml:space="preserve">Corrección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No terminales (3/4)</w:t>
            </w:r>
          </w:p>
        </w:tc>
        <w:tc>
          <w:tcPr>
            <w:tcW w:w="1741" w:type="dxa"/>
          </w:tcPr>
          <w:p>
            <w:pPr/>
            <w:r>
              <w:t xml:space="preserve">Nombres inconsistentes y algunos redundantes</w:t>
            </w:r>
          </w:p>
        </w:tc>
        <w:tc>
          <w:tcPr>
            <w:tcW w:w="4889" w:type="dxa"/>
          </w:tcPr>
          <w:p>
            <w:pPr/>
            <w:r>
              <w:t xml:space="preserve">Se unificaron los nombres (</w:t>
            </w:r>
            <w:r>
              <w:rPr>
                <w:rStyle w:val="CodeChar"/>
              </w:rPr>
              <w:t xml:space="preserve">ListPar</w:t>
            </w:r>
            <w:r>
              <w:t xml:space="preserve">, </w:t>
            </w:r>
            <w:r>
              <w:rPr>
                <w:rStyle w:val="CodeChar"/>
              </w:rPr>
              <w:t xml:space="preserve">ListParm</w:t>
            </w:r>
            <w:r>
              <w:t xml:space="preserve">, </w:t>
            </w:r>
            <w:r>
              <w:rPr>
                <w:rStyle w:val="CodeChar"/>
              </w:rPr>
              <w:t xml:space="preserve">ListParam</w:t>
            </w:r>
            <w:r>
              <w:t xml:space="preserve"> y </w:t>
            </w:r>
            <w:r>
              <w:rPr>
                <w:rStyle w:val="CodeChar"/>
              </w:rPr>
              <w:t xml:space="preserve">ParmEsp</w:t>
            </w:r>
            <w:r>
              <w:t xml:space="preserve"> pasaron a </w:t>
            </w:r>
            <w:r>
              <w:rPr>
                <w:rStyle w:val="CodeChar"/>
              </w:rPr>
              <w:t xml:space="preserve">TypeParams</w:t>
            </w:r>
            <w:r>
              <w:t xml:space="preserve">/</w:t>
            </w:r>
            <w:r>
              <w:rPr>
                <w:rStyle w:val="CodeChar"/>
              </w:rPr>
              <w:t xml:space="preserve">TypeParam</w:t>
            </w:r>
            <w:r>
              <w:t xml:space="preserve">; </w:t>
            </w:r>
            <w:r>
              <w:rPr>
                <w:rStyle w:val="CodeChar"/>
              </w:rPr>
              <w:t xml:space="preserve">Param</w:t>
            </w:r>
            <w:r>
              <w:t xml:space="preserve"> quedó definido). </w:t>
            </w:r>
            <w:r>
              <w:rPr>
                <w:rStyle w:val="CodeChar"/>
              </w:rPr>
              <w:t xml:space="preserve">Cond</w:t>
            </w:r>
            <w:r>
              <w:t xml:space="preserve">, </w:t>
            </w:r>
            <w:r>
              <w:rPr>
                <w:rStyle w:val="CodeChar"/>
              </w:rPr>
              <w:t xml:space="preserve">Ciclo</w:t>
            </w:r>
            <w:r>
              <w:t xml:space="preserve">, </w:t>
            </w:r>
            <w:r>
              <w:rPr>
                <w:rStyle w:val="CodeChar"/>
              </w:rPr>
              <w:t xml:space="preserve">Asignación</w:t>
            </w:r>
            <w:r>
              <w:t xml:space="preserve"> y </w:t>
            </w:r>
            <w:r>
              <w:rPr>
                <w:rStyle w:val="CodeChar"/>
              </w:rPr>
              <w:t xml:space="preserve">Print</w:t>
            </w:r>
            <w:r>
              <w:t xml:space="preserve"> se integraron como alternativas de </w:t>
            </w:r>
            <w:r>
              <w:rPr>
                <w:rStyle w:val="CodeChar"/>
              </w:rPr>
              <w:t xml:space="preserve">Statement</w:t>
            </w:r>
            <w:r>
              <w:t xml:space="preserve">. Se eliminaron </w:t>
            </w:r>
            <w:r>
              <w:rPr>
                <w:rStyle w:val="CodeChar"/>
              </w:rPr>
              <w:t xml:space="preserve">Digito</w:t>
            </w:r>
            <w:r>
              <w:t xml:space="preserve">, </w:t>
            </w:r>
            <w:r>
              <w:rPr>
                <w:rStyle w:val="CodeChar"/>
              </w:rPr>
              <w:t xml:space="preserve">Ent</w:t>
            </w:r>
            <w:r>
              <w:t xml:space="preserve"> y </w:t>
            </w:r>
            <w:r>
              <w:rPr>
                <w:rStyle w:val="CodeChar"/>
              </w:rPr>
              <w:t xml:space="preserve">Primario</w:t>
            </w:r>
            <w:r>
              <w:t xml:space="preserve"> (redundantes con </w:t>
            </w:r>
            <w:r>
              <w:rPr>
                <w:rStyle w:val="CodeChar"/>
              </w:rPr>
              <w:t xml:space="preserve">IntLit</w:t>
            </w:r>
            <w:r>
              <w:t xml:space="preserve">, </w:t>
            </w:r>
            <w:r>
              <w:rPr>
                <w:rStyle w:val="CodeChar"/>
              </w:rPr>
              <w:t xml:space="preserve">FloatLit</w:t>
            </w:r>
            <w:r>
              <w:t xml:space="preserve"> y las demás literales).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Terminales (3/4)</w:t>
            </w:r>
          </w:p>
        </w:tc>
        <w:tc>
          <w:tcPr>
            <w:tcW w:w="1741" w:type="dxa"/>
          </w:tcPr>
          <w:p>
            <w:pPr/>
            <w:r>
              <w:rPr>
                <w:rStyle w:val="CodeChar"/>
              </w:rPr>
              <w:t xml:space="preserve">\n</w:t>
            </w:r>
            <w:r>
              <w:t xml:space="preserve"> no es un terminal; usar otra notación para letras y dígitos; el espacio y </w:t>
            </w:r>
            <w:r>
              <w:rPr>
                <w:rStyle w:val="CodeChar"/>
              </w:rPr>
              <w:t xml:space="preserve">;</w:t>
            </w:r>
            <w:r>
              <w:t xml:space="preserve"> no hacen parte del lenguaje</w:t>
            </w:r>
          </w:p>
        </w:tc>
        <w:tc>
          <w:tcPr>
            <w:tcW w:w="4889" w:type="dxa"/>
          </w:tcPr>
          <w:p>
            <w:pPr/>
            <w:r>
              <w:t xml:space="preserve">Se quitó </w:t>
            </w:r>
            <w:r>
              <w:rPr>
                <w:rStyle w:val="CodeChar"/>
              </w:rPr>
              <w:t xml:space="preserve">\n</w:t>
            </w:r>
            <w:r>
              <w:t xml:space="preserve"> del alfabeto (los saltos de línea son solo espacio en blanco). Letras y dígitos se describen con rangos: </w:t>
            </w:r>
            <w:r>
              <w:rPr>
                <w:rStyle w:val="CodeChar"/>
              </w:rPr>
              <w:t xml:space="preserve">[a-zA-Z]</w:t>
            </w:r>
            <w:r>
              <w:t xml:space="preserve"> y </w:t>
            </w:r>
            <w:r>
              <w:rPr>
                <w:rStyle w:val="CodeChar"/>
              </w:rPr>
              <w:t xml:space="preserve">[0-9]</w:t>
            </w:r>
            <w:r>
              <w:t xml:space="preserve">. Se agregaron los terminales que faltaban: </w:t>
            </w:r>
            <w:r>
              <w:rPr>
                <w:rStyle w:val="CodeChar"/>
              </w:rPr>
              <w:t xml:space="preserve">print</w:t>
            </w:r>
            <w:r>
              <w:t xml:space="preserve">, </w:t>
            </w:r>
            <w:r>
              <w:rPr>
                <w:rStyle w:val="CodeChar"/>
              </w:rPr>
              <w:t xml:space="preserve">println</w:t>
            </w:r>
            <w:r>
              <w:t xml:space="preserve">, </w:t>
            </w:r>
            <w:r>
              <w:rPr>
                <w:rStyle w:val="CodeChar"/>
              </w:rPr>
              <w:t xml:space="preserve">++</w:t>
            </w:r>
            <w:r>
              <w:t xml:space="preserve">, </w:t>
            </w:r>
            <w:r>
              <w:rPr>
                <w:rStyle w:val="CodeChar"/>
              </w:rPr>
              <w:t xml:space="preserve">${</w:t>
            </w:r>
            <w:r>
              <w:t xml:space="preserve">, </w:t>
            </w:r>
            <w:r>
              <w:rPr>
                <w:rStyle w:val="CodeChar"/>
              </w:rPr>
              <w:t xml:space="preserve">//</w:t>
            </w:r>
            <w:r>
              <w:t xml:space="preserve">, </w:t>
            </w:r>
            <w:r>
              <w:rPr>
                <w:rStyle w:val="CodeChar"/>
              </w:rPr>
              <w:t xml:space="preserve">/* */</w:t>
            </w:r>
            <w:r>
              <w:t xml:space="preserve"> y </w:t>
            </w:r>
            <w:r>
              <w:rPr>
                <w:rStyle w:val="CodeChar"/>
              </w:rPr>
              <w:t xml:space="preserve">;</w:t>
            </w:r>
            <w:r>
              <w:t xml:space="preserve"> (este último solo como sentencia vacía). Siguiendo el comentario de la rúbrica, el espacio y </w:t>
            </w:r>
            <w:r>
              <w:rPr>
                <w:rStyle w:val="CodeChar"/>
              </w:rPr>
              <w:t xml:space="preserve">;</w:t>
            </w:r>
            <w:r>
              <w:t xml:space="preserve"> ya no se listan como caracteres de </w:t>
            </w:r>
            <w:r>
              <w:rPr>
                <w:rStyle w:val="CodeChar"/>
              </w:rPr>
              <w:t xml:space="preserve">Cadena</w:t>
            </w:r>
            <w:r>
              <w:t xml:space="preserve">: una cadena acepta cualquier carácter salvo </w:t>
            </w:r>
            <w:r>
              <w:rPr>
                <w:rStyle w:val="CodeChar"/>
              </w:rPr>
              <w:t xml:space="preserve">"</w:t>
            </w:r>
            <w:r>
              <w:t xml:space="preserve">, </w:t>
            </w:r>
            <w:r>
              <w:rPr>
                <w:rStyle w:val="CodeChar"/>
              </w:rPr>
              <w:t xml:space="preserve">\</w:t>
            </w:r>
            <w:r>
              <w:t xml:space="preserve">, </w:t>
            </w:r>
            <w:r>
              <w:rPr>
                <w:rStyle w:val="CodeChar"/>
              </w:rPr>
              <w:t xml:space="preserve">$</w:t>
            </w:r>
            <w:r>
              <w:t xml:space="preserve"> aislado y saltos de línea. </w:t>
            </w:r>
            <w:r>
              <w:rPr>
                <w:rStyle w:val="CodeChar"/>
              </w:rPr>
              <w:t xml:space="preserve">-&gt;</w:t>
            </w:r>
            <w:r>
              <w:t xml:space="preserve"> y </w:t>
            </w:r>
            <w:r>
              <w:rPr>
                <w:rStyle w:val="CodeChar"/>
              </w:rPr>
              <w:t xml:space="preserve">=&gt;</w:t>
            </w:r>
            <w:r>
              <w:t xml:space="preserve"> se retiraron del alfabeto porque ninguna regla los usa.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Reglas (3/4)</w:t>
            </w:r>
          </w:p>
        </w:tc>
        <w:tc>
          <w:tcPr>
            <w:tcW w:w="1741" w:type="dxa"/>
          </w:tcPr>
          <w:p>
            <w:pPr/>
            <w:r>
              <w:t xml:space="preserve">No todas seguían EBNF</w:t>
            </w:r>
          </w:p>
        </w:tc>
        <w:tc>
          <w:tcPr>
            <w:tcW w:w="4889" w:type="dxa"/>
          </w:tcPr>
          <w:p>
            <w:pPr/>
            <w:r>
              <w:t xml:space="preserve">Se reescribieron todas las reglas en una sola notación (sintaxis de Rascal, equivalente a EBNF).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Reglas especiales (3/4)</w:t>
            </w:r>
          </w:p>
        </w:tc>
        <w:tc>
          <w:tcPr>
            <w:tcW w:w="1741" w:type="dxa"/>
          </w:tcPr>
          <w:p>
            <w:pPr/>
            <w:r>
              <w:t xml:space="preserve">Definiciones de tokens incorrectas; </w:t>
            </w:r>
            <w:r>
              <w:rPr>
                <w:rStyle w:val="CodeChar"/>
              </w:rPr>
              <w:t xml:space="preserve">Char</w:t>
            </w:r>
            <w:r>
              <w:t xml:space="preserve"> debía incluir las mayúsculas</w:t>
            </w:r>
          </w:p>
        </w:tc>
        <w:tc>
          <w:tcPr>
            <w:tcW w:w="4889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 ahora acepta mayúsculas y minúsculas (antes solo </w:t>
            </w:r>
            <w:r>
              <w:rPr>
                <w:rStyle w:val="CodeChar"/>
              </w:rPr>
              <w:t xml:space="preserve">a</w:t>
            </w:r>
            <w:r>
              <w:t xml:space="preserve">–</w:t>
            </w:r>
            <w:r>
              <w:rPr>
                <w:rStyle w:val="CodeChar"/>
              </w:rPr>
              <w:t xml:space="preserve">z</w:t>
            </w:r>
            <w:r>
              <w:t xml:space="preserve">, aunque el alfabeto incluía </w:t>
            </w:r>
            <w:r>
              <w:rPr>
                <w:rStyle w:val="CodeChar"/>
              </w:rPr>
              <w:t xml:space="preserve">A</w:t>
            </w:r>
            <w:r>
              <w:t xml:space="preserve">–</w:t>
            </w:r>
            <w:r>
              <w:rPr>
                <w:rStyle w:val="CodeChar"/>
              </w:rPr>
              <w:t xml:space="preserve">Z</w:t>
            </w:r>
            <w:r>
              <w:t xml:space="preserve">) y excluye las palabras reservadas. </w:t>
            </w:r>
            <w:r>
              <w:rPr>
                <w:rStyle w:val="CodeChar"/>
              </w:rPr>
              <w:t xml:space="preserve">Float</w:t>
            </w:r>
            <w:r>
              <w:t xml:space="preserve"> y </w:t>
            </w:r>
            <w:r>
              <w:rPr>
                <w:rStyle w:val="CodeChar"/>
              </w:rPr>
              <w:t xml:space="preserve">Ent</w:t>
            </w:r>
            <w:r>
              <w:t xml:space="preserve"> ya no incluyen el signo: el </w:t>
            </w:r>
            <w:r>
              <w:rPr>
                <w:rStyle w:val="CodeChar"/>
              </w:rPr>
              <w:t xml:space="preserve">-</w:t>
            </w:r>
            <w:r>
              <w:t xml:space="preserve"> se trata como operador unario. </w:t>
            </w:r>
            <w:r>
              <w:rPr>
                <w:rStyle w:val="CodeChar"/>
              </w:rPr>
              <w:t xml:space="preserve">Cadena</w:t>
            </w:r>
            <w:r>
              <w:t xml:space="preserve"> se reescribió con escapes e interpolación bien definidos.</w:t>
            </w:r>
          </w:p>
        </w:tc>
      </w:tr>
    </w:tbl>
    <w:p>
      <w:pPr>
        <w:pStyle w:val="Heading2"/>
      </w:pPr>
      <w:r>
        <w:t xml:space="preserve">2. Errores de la gramática del Proyecto 1 que corregimos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Problema en el P1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Cambio en el P2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Programa</w:t>
            </w:r>
            <w:r>
              <w:t xml:space="preserve"> incluía </w:t>
            </w:r>
            <w:r>
              <w:rPr>
                <w:rStyle w:val="CodeChar"/>
              </w:rPr>
              <w:t xml:space="preserve">methodDef</w:t>
            </w:r>
            <w:r>
              <w:t xml:space="preserve">/</w:t>
            </w:r>
            <w:r>
              <w:rPr>
                <w:rStyle w:val="CodeChar"/>
              </w:rPr>
              <w:t xml:space="preserve">objectDef</w:t>
            </w:r>
            <w:r>
              <w:t xml:space="preserve"> (minúscula) y se definía con </w:t>
            </w:r>
            <w:r>
              <w:rPr>
                <w:rStyle w:val="CodeChar"/>
              </w:rPr>
              <w:t xml:space="preserve">(Programa)*</w:t>
            </w:r>
            <w:r>
              <w:t xml:space="preserve"> recursivo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Program = Statement*</w:t>
            </w:r>
            <w:r>
              <w:t xml:space="preserve">; nombres consistentes.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Programa</w:t>
            </w:r>
            <w:r>
              <w:t xml:space="preserve"> no incluía </w:t>
            </w:r>
            <w:r>
              <w:rPr>
                <w:rStyle w:val="CodeChar"/>
              </w:rPr>
              <w:t xml:space="preserve">Print</w:t>
            </w:r>
            <w:r>
              <w:t xml:space="preserve"> ni expresiones, así que un método no podía devolver un valor ni llamar a otro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Statement</w:t>
            </w:r>
            <w:r>
              <w:t xml:space="preserve"> incluye </w:t>
            </w:r>
            <w:r>
              <w:rPr>
                <w:rStyle w:val="CodeChar"/>
              </w:rPr>
              <w:t xml:space="preserve">print</w:t>
            </w:r>
            <w:r>
              <w:t xml:space="preserve">, </w:t>
            </w:r>
            <w:r>
              <w:rPr>
                <w:rStyle w:val="CodeChar"/>
              </w:rPr>
              <w:t xml:space="preserve">println</w:t>
            </w:r>
            <w:r>
              <w:t xml:space="preserve"> y expresiones como sentencia.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ObjectDef</w:t>
            </w:r>
            <w:r>
              <w:t xml:space="preserve"> no tenía cuerpo</w:t>
            </w:r>
          </w:p>
        </w:tc>
        <w:tc>
          <w:tcPr>
            <w:tcW w:w="4920" w:type="dxa"/>
          </w:tcPr>
          <w:p>
            <w:pPr/>
            <w:r>
              <w:t xml:space="preserve">Se agregó el cuerpo opcional </w:t>
            </w:r>
            <w:r>
              <w:rPr>
                <w:rStyle w:val="CodeChar"/>
              </w:rPr>
              <w:t xml:space="preserve">{ Statement* }</w:t>
            </w:r>
            <w:r>
              <w:t xml:space="preserve">. Se mantuvo el orden del P1: </w:t>
            </w:r>
            <w:r>
              <w:rPr>
                <w:rStyle w:val="CodeChar"/>
              </w:rPr>
              <w:t xml:space="preserve">extends</w:t>
            </w:r>
            <w:r>
              <w:t xml:space="preserve">, parámetros de tipo, parámetros.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Primario</w:t>
            </w:r>
            <w:r>
              <w:t xml:space="preserve"> y </w:t>
            </w:r>
            <w:r>
              <w:rPr>
                <w:rStyle w:val="CodeChar"/>
              </w:rPr>
              <w:t xml:space="preserve">Invocación</w:t>
            </w:r>
            <w:r>
              <w:t xml:space="preserve"> aceptaban ambos un </w:t>
            </w:r>
            <w:r>
              <w:rPr>
                <w:rStyle w:val="CodeChar"/>
              </w:rPr>
              <w:t xml:space="preserve">id</w:t>
            </w:r>
            <w:r>
              <w:t xml:space="preserve"> simple (ambigüedad)</w:t>
            </w:r>
          </w:p>
        </w:tc>
        <w:tc>
          <w:tcPr>
            <w:tcW w:w="4920" w:type="dxa"/>
          </w:tcPr>
          <w:p>
            <w:pPr/>
            <w:r>
              <w:t xml:space="preserve">Se quitó </w:t>
            </w:r>
            <w:r>
              <w:rPr>
                <w:rStyle w:val="CodeChar"/>
              </w:rPr>
              <w:t xml:space="preserve">id</w:t>
            </w:r>
            <w:r>
              <w:t xml:space="preserve"> de las literales; un identificador es una </w:t>
            </w:r>
            <w:r>
              <w:rPr>
                <w:rStyle w:val="CodeChar"/>
              </w:rPr>
              <w:t xml:space="preserve">Invocation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Invocación</w:t>
            </w:r>
            <w:r>
              <w:t xml:space="preserve"> exigía al menos un argumento: </w:t>
            </w:r>
            <w:r>
              <w:rPr>
                <w:rStyle w:val="CodeChar"/>
              </w:rPr>
              <w:t xml:space="preserve">f()</w:t>
            </w:r>
            <w:r>
              <w:t xml:space="preserve"> era imposible</w:t>
            </w:r>
          </w:p>
        </w:tc>
        <w:tc>
          <w:tcPr>
            <w:tcW w:w="4920" w:type="dxa"/>
          </w:tcPr>
          <w:p>
            <w:pPr/>
            <w:r>
              <w:t xml:space="preserve">Argumentos con </w:t>
            </w:r>
            <w:r>
              <w:rPr>
                <w:rStyle w:val="CodeChar"/>
              </w:rPr>
              <w:t xml:space="preserve">{Expression ","}*</w:t>
            </w:r>
            <w:r>
              <w:t xml:space="preserve"> (pueden ser cero).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Asignación</w:t>
            </w:r>
            <w:r>
              <w:t xml:space="preserve"> usaba </w:t>
            </w:r>
            <w:r>
              <w:rPr>
                <w:rStyle w:val="CodeChar"/>
              </w:rPr>
              <w:t xml:space="preserve">Invocación</w:t>
            </w:r>
            <w:r>
              <w:t xml:space="preserve"> como nombre declarado (</w:t>
            </w:r>
            <w:r>
              <w:rPr>
                <w:rStyle w:val="CodeChar"/>
              </w:rPr>
              <w:t xml:space="preserve">val a.b.c = ...</w:t>
            </w:r>
            <w:r>
              <w:t xml:space="preserve">)</w:t>
            </w:r>
          </w:p>
        </w:tc>
        <w:tc>
          <w:tcPr>
            <w:tcW w:w="4920" w:type="dxa"/>
          </w:tcPr>
          <w:p>
            <w:pPr/>
            <w:r>
              <w:t xml:space="preserve">Ahora es </w:t>
            </w:r>
            <w:r>
              <w:rPr>
                <w:rStyle w:val="CodeChar"/>
              </w:rPr>
              <w:t xml:space="preserve">("val" | "var") Id TypeAnn? "=" Expression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Tipo</w:t>
            </w:r>
            <w:r>
              <w:t xml:space="preserve"> incluía los </w:t>
            </w:r>
            <w:r>
              <w:rPr>
                <w:rStyle w:val="CodeChar"/>
              </w:rPr>
              <w:t xml:space="preserve">:</w:t>
            </w:r>
            <w:r>
              <w:t xml:space="preserve"> también dentro de los argumentos de tipo (</w:t>
            </w:r>
            <w:r>
              <w:rPr>
                <w:rStyle w:val="CodeChar"/>
              </w:rPr>
              <w:t xml:space="preserve">[:Int, :Str]</w:t>
            </w:r>
            <w:r>
              <w:t xml:space="preserve">)</w:t>
            </w:r>
          </w:p>
        </w:tc>
        <w:tc>
          <w:tcPr>
            <w:tcW w:w="4920" w:type="dxa"/>
          </w:tcPr>
          <w:p>
            <w:pPr/>
            <w:r>
              <w:t xml:space="preserve">Se separó </w:t>
            </w:r>
            <w:r>
              <w:rPr>
                <w:rStyle w:val="CodeChar"/>
              </w:rPr>
              <w:t xml:space="preserve">TypeAnn</w:t>
            </w:r>
            <w:r>
              <w:t xml:space="preserve"> (</w:t>
            </w:r>
            <w:r>
              <w:rPr>
                <w:rStyle w:val="CodeChar"/>
              </w:rPr>
              <w:t xml:space="preserve">":" TypeExpr</w:t>
            </w:r>
            <w:r>
              <w:t xml:space="preserve">) de </w:t>
            </w:r>
            <w:r>
              <w:rPr>
                <w:rStyle w:val="CodeChar"/>
              </w:rPr>
              <w:t xml:space="preserve">TypeExpr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new</w:t>
            </w:r>
            <w:r>
              <w:t xml:space="preserve"> aceptaba argumentos sin paréntesis y un único </w:t>
            </w:r>
            <w:r>
              <w:rPr>
                <w:rStyle w:val="CodeChar"/>
              </w:rPr>
              <w:t xml:space="preserve">MethodDef</w:t>
            </w:r>
            <w:r>
              <w:t xml:space="preserve"> en el cuerpo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new Id TypeArgs? CallArgs? ObjectBody?</w:t>
            </w:r>
            <w:r>
              <w:t xml:space="preserve">, con paréntesis y </w:t>
            </w:r>
            <w:r>
              <w:rPr>
                <w:rStyle w:val="CodeChar"/>
              </w:rPr>
              <w:t xml:space="preserve">MethodDef*</w:t>
            </w:r>
            <w:r>
              <w:t xml:space="preserve">. Los </w:t>
            </w:r>
            <w:r>
              <w:rPr>
                <w:rStyle w:val="CodeChar"/>
              </w:rPr>
              <w:t xml:space="preserve">[...]</w:t>
            </w:r>
            <w:r>
              <w:t xml:space="preserve"> de </w:t>
            </w:r>
            <w:r>
              <w:rPr>
                <w:rStyle w:val="CodeChar"/>
              </w:rPr>
              <w:t xml:space="preserve">new</w:t>
            </w:r>
            <w:r>
              <w:t xml:space="preserve"> e invocaciones son argumentos de tipo, sin </w:t>
            </w:r>
            <w:r>
              <w:rPr>
                <w:rStyle w:val="CodeChar"/>
              </w:rPr>
              <w:t xml:space="preserve">+</w:t>
            </w:r>
            <w:r>
              <w:t xml:space="preserve">/</w:t>
            </w:r>
            <w:r>
              <w:rPr>
                <w:rStyle w:val="CodeChar"/>
              </w:rPr>
              <w:t xml:space="preserve">-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MethodDef</w:t>
            </w:r>
            <w:r>
              <w:t xml:space="preserve"> usaba </w:t>
            </w:r>
            <w:r>
              <w:rPr>
                <w:rStyle w:val="CodeChar"/>
              </w:rPr>
              <w:t xml:space="preserve">Param</w:t>
            </w:r>
            <w:r>
              <w:t xml:space="preserve"> indefinido y paréntesis con un solo parámetro</w:t>
            </w:r>
          </w:p>
        </w:tc>
        <w:tc>
          <w:tcPr>
            <w:tcW w:w="4920" w:type="dxa"/>
          </w:tcPr>
          <w:p>
            <w:pPr/>
            <w:r>
              <w:t xml:space="preserve">Se usa </w:t>
            </w:r>
            <w:r>
              <w:rPr>
                <w:rStyle w:val="CodeChar"/>
              </w:rPr>
              <w:t xml:space="preserve">Params</w:t>
            </w:r>
            <w:r>
              <w:t xml:space="preserve"> (lista separada por comas, puede ser vacía).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Ciclo</w:t>
            </w:r>
            <w:r>
              <w:t xml:space="preserve"> usaba </w:t>
            </w:r>
            <w:r>
              <w:rPr>
                <w:rStyle w:val="CodeChar"/>
              </w:rPr>
              <w:t xml:space="preserve">int</w:t>
            </w:r>
            <w:r>
              <w:t xml:space="preserve"> (no definido) y </w:t>
            </w:r>
            <w:r>
              <w:rPr>
                <w:rStyle w:val="CodeChar"/>
              </w:rPr>
              <w:t xml:space="preserve">++</w:t>
            </w:r>
            <w:r>
              <w:t xml:space="preserve"> (no estaba en el alfabeto); el </w:t>
            </w:r>
            <w:r>
              <w:rPr>
                <w:rStyle w:val="CodeChar"/>
              </w:rPr>
              <w:t xml:space="preserve">for</w:t>
            </w:r>
            <w:r>
              <w:t xml:space="preserve"> con tupla exigía siempre paréntesis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++</w:t>
            </w:r>
            <w:r>
              <w:t xml:space="preserve"> entra al alfabeto; la forma </w:t>
            </w:r>
            <w:r>
              <w:rPr>
                <w:rStyle w:val="CodeChar"/>
              </w:rPr>
              <w:t xml:space="preserve">for (x &lt;- xs)</w:t>
            </w:r>
            <w:r>
              <w:t xml:space="preserve"> acepta un id o una tupla </w:t>
            </w:r>
            <w:r>
              <w:rPr>
                <w:rStyle w:val="CodeChar"/>
              </w:rPr>
              <w:t xml:space="preserve">(a, b)</w:t>
            </w:r>
            <w:r>
              <w:t xml:space="preserve">; el valor inicial del </w:t>
            </w:r>
            <w:r>
              <w:rPr>
                <w:rStyle w:val="CodeChar"/>
              </w:rPr>
              <w:t xml:space="preserve">for</w:t>
            </w:r>
            <w:r>
              <w:t xml:space="preserve"> por rango es una </w:t>
            </w:r>
            <w:r>
              <w:rPr>
                <w:rStyle w:val="CodeChar"/>
              </w:rPr>
              <w:t xml:space="preserve">Expression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Cond</w:t>
            </w:r>
            <w:r>
              <w:t xml:space="preserve"> y </w:t>
            </w:r>
            <w:r>
              <w:rPr>
                <w:rStyle w:val="CodeChar"/>
              </w:rPr>
              <w:t xml:space="preserve">Ciclo</w:t>
            </w:r>
            <w:r>
              <w:t xml:space="preserve"> usaban </w:t>
            </w:r>
            <w:r>
              <w:rPr>
                <w:rStyle w:val="CodeChar"/>
              </w:rPr>
              <w:t xml:space="preserve">Programa</w:t>
            </w:r>
            <w:r>
              <w:t xml:space="preserve"> como cuerpo (ambiguo: no se sabe dónde termina)</w:t>
            </w:r>
          </w:p>
        </w:tc>
        <w:tc>
          <w:tcPr>
            <w:tcW w:w="4920" w:type="dxa"/>
          </w:tcPr>
          <w:p>
            <w:pPr/>
            <w:r>
              <w:t xml:space="preserve">El cuerpo es un bloque </w:t>
            </w:r>
            <w:r>
              <w:rPr>
                <w:rStyle w:val="CodeChar"/>
              </w:rPr>
              <w:t xml:space="preserve">{ ... }</w:t>
            </w:r>
            <w:r>
              <w:t xml:space="preserve"> o una única sentencia (</w:t>
            </w:r>
            <w:r>
              <w:rPr>
                <w:rStyle w:val="CodeChar"/>
              </w:rPr>
              <w:t xml:space="preserve">Body</w:t>
            </w:r>
            <w:r>
              <w:t xml:space="preserve">).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Print</w:t>
            </w:r>
            <w:r>
              <w:t xml:space="preserve"> solo imprimía cadenas</w:t>
            </w:r>
          </w:p>
        </w:tc>
        <w:tc>
          <w:tcPr>
            <w:tcW w:w="4920" w:type="dxa"/>
          </w:tcPr>
          <w:p>
            <w:pPr/>
            <w:r>
              <w:t xml:space="preserve">Acepta cualquier expresión (las cadenas siguen siendo expresiones).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Expresiones ambiguas, sin precedencia ni asociatividad</w:t>
            </w:r>
          </w:p>
        </w:tc>
        <w:tc>
          <w:tcPr>
            <w:tcW w:w="4920" w:type="dxa"/>
          </w:tcPr>
          <w:p>
            <w:pPr/>
            <w:r>
              <w:t xml:space="preserve">Precedencias explícitas, de mayor a menor: literales, </w:t>
            </w:r>
            <w:r>
              <w:rPr>
                <w:rStyle w:val="CodeChar"/>
              </w:rPr>
              <w:t xml:space="preserve">-</w:t>
            </w:r>
            <w:r>
              <w:t xml:space="preserve"> y </w:t>
            </w:r>
            <w:r>
              <w:rPr>
                <w:rStyle w:val="CodeChar"/>
              </w:rPr>
              <w:t xml:space="preserve">neg</w:t>
            </w:r>
            <w:r>
              <w:t xml:space="preserve"> unarios, </w:t>
            </w:r>
            <w:r>
              <w:rPr>
                <w:rStyle w:val="CodeChar"/>
              </w:rPr>
              <w:t xml:space="preserve">**</w:t>
            </w:r>
            <w:r>
              <w:t xml:space="preserve"> (derecha), </w:t>
            </w:r>
            <w:r>
              <w:rPr>
                <w:rStyle w:val="CodeChar"/>
              </w:rPr>
              <w:t xml:space="preserve">* / %</w:t>
            </w:r>
            <w:r>
              <w:t xml:space="preserve">, </w:t>
            </w:r>
            <w:r>
              <w:rPr>
                <w:rStyle w:val="CodeChar"/>
              </w:rPr>
              <w:t xml:space="preserve">+ -</w:t>
            </w:r>
            <w:r>
              <w:t xml:space="preserve">, comparaciones (no asociativas), </w:t>
            </w:r>
            <w:r>
              <w:rPr>
                <w:rStyle w:val="CodeChar"/>
              </w:rPr>
              <w:t xml:space="preserve">and</w:t>
            </w:r>
            <w:r>
              <w:t xml:space="preserve">, </w:t>
            </w:r>
            <w:r>
              <w:rPr>
                <w:rStyle w:val="CodeChar"/>
              </w:rPr>
              <w:t xml:space="preserve">or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Cadena</w:t>
            </w:r>
            <w:r>
              <w:t xml:space="preserve"> permitía </w:t>
            </w:r>
            <w:r>
              <w:rPr>
                <w:rStyle w:val="CodeChar"/>
              </w:rPr>
              <w:t xml:space="preserve">${ Programa }</w:t>
            </w:r>
          </w:p>
        </w:tc>
        <w:tc>
          <w:tcPr>
            <w:tcW w:w="4920" w:type="dxa"/>
          </w:tcPr>
          <w:p>
            <w:pPr/>
            <w:r>
              <w:t xml:space="preserve">La interpolación es </w:t>
            </w:r>
            <w:r>
              <w:rPr>
                <w:rStyle w:val="CodeChar"/>
              </w:rPr>
              <w:t xml:space="preserve">${ Expression }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3. Sintaxis concreta y resaltado</w:t>
      </w:r>
    </w:p>
    <w:p>
      <w:pPr>
        <w:pStyle w:val="ListParagraph"/>
        <w:numPr>
          <w:ilvl w:val="0"/>
          <w:numId w:val="2"/>
        </w:numPr>
      </w:pPr>
      <w:r>
        <w:t xml:space="preserve">Implementada con </w:t>
      </w:r>
      <w:r>
        <w:rPr>
          <w:rStyle w:val="CodeChar"/>
        </w:rPr>
        <w:t xml:space="preserve">syntax</w:t>
      </w:r>
      <w:r>
        <w:t xml:space="preserve">/</w:t>
      </w:r>
      <w:r>
        <w:rPr>
          <w:rStyle w:val="CodeChar"/>
        </w:rPr>
        <w:t xml:space="preserve">lexical</w:t>
      </w:r>
      <w:r>
        <w:t xml:space="preserve"> de Rascal en </w:t>
      </w:r>
      <w:r>
        <w:rPr>
          <w:rStyle w:val="CodeChar"/>
        </w:rPr>
        <w:t xml:space="preserve">Syntax.rsc</w:t>
      </w:r>
      <w:r>
        <w:t xml:space="preserve">, con espacios, </w:t>
      </w:r>
      <w:r>
        <w:rPr>
          <w:rStyle w:val="CodeChar"/>
        </w:rPr>
        <w:t xml:space="preserve">//</w:t>
      </w:r>
      <w:r>
        <w:t xml:space="preserve"> y </w:t>
      </w:r>
      <w:r>
        <w:rPr>
          <w:rStyle w:val="CodeChar"/>
        </w:rPr>
        <w:t xml:space="preserve">/* */</w:t>
      </w:r>
      <w:r>
        <w:t xml:space="preserve"> como layout.</w:t>
      </w:r>
    </w:p>
    <w:p>
      <w:pPr>
        <w:pStyle w:val="ListParagraph"/>
        <w:numPr>
          <w:ilvl w:val="0"/>
          <w:numId w:val="2"/>
        </w:numPr>
      </w:pPr>
      <w:r>
        <w:t xml:space="preserve">Resaltado con </w:t>
      </w:r>
      <w:r>
        <w:rPr>
          <w:rStyle w:val="CodeChar"/>
        </w:rPr>
        <w:t xml:space="preserve">@category</w:t>
      </w:r>
      <w:r>
        <w:t xml:space="preserve">: </w:t>
      </w:r>
      <w:r>
        <w:rPr>
          <w:rStyle w:val="CodeChar"/>
        </w:rPr>
        <w:t xml:space="preserve">Comment</w:t>
      </w:r>
      <w:r>
        <w:t xml:space="preserve">, </w:t>
      </w:r>
      <w:r>
        <w:rPr>
          <w:rStyle w:val="CodeChar"/>
        </w:rPr>
        <w:t xml:space="preserve">Constant</w:t>
      </w:r>
      <w:r>
        <w:t xml:space="preserve"> (números y cadenas), </w:t>
      </w:r>
      <w:r>
        <w:rPr>
          <w:rStyle w:val="CodeChar"/>
        </w:rPr>
        <w:t xml:space="preserve">Variable</w:t>
      </w:r>
      <w:r>
        <w:t xml:space="preserve"> (identificadores) y </w:t>
      </w:r>
      <w:r>
        <w:rPr>
          <w:rStyle w:val="CodeChar"/>
        </w:rPr>
        <w:t xml:space="preserve">Type</w:t>
      </w:r>
      <w:r>
        <w:t xml:space="preserve"> (nombres de tipo). Las palabras reservadas se resaltan como keywords.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Plugin.rsc</w:t>
      </w:r>
      <w:r>
        <w:t xml:space="preserve"> registra la extensión </w:t>
      </w:r>
      <w:r>
        <w:rPr>
          <w:rStyle w:val="CodeChar"/>
        </w:rPr>
        <w:t xml:space="preserve">*.obj</w:t>
      </w:r>
      <w:r>
        <w:t xml:space="preserve"> en VS Code.</w:t>
      </w:r>
    </w:p>
    <w:p>
      <w:pPr>
        <w:pStyle w:val="Heading2"/>
      </w:pPr>
      <w:r>
        <w:t xml:space="preserve">4. Sintaxis abstracta (AST)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AST.rsc</w:t>
      </w:r>
      <w:r>
        <w:t xml:space="preserve"> define los ADT </w:t>
      </w:r>
      <w:r>
        <w:rPr>
          <w:rStyle w:val="CodeChar"/>
        </w:rPr>
        <w:t xml:space="preserve">AProgram</w:t>
      </w:r>
      <w:r>
        <w:t xml:space="preserve">, </w:t>
      </w:r>
      <w:r>
        <w:rPr>
          <w:rStyle w:val="CodeChar"/>
        </w:rPr>
        <w:t xml:space="preserve">AStatement</w:t>
      </w:r>
      <w:r>
        <w:t xml:space="preserve">, </w:t>
      </w:r>
      <w:r>
        <w:rPr>
          <w:rStyle w:val="CodeChar"/>
        </w:rPr>
        <w:t xml:space="preserve">AExpression</w:t>
      </w:r>
      <w:r>
        <w:t xml:space="preserve">, etc. Los constructores coinciden con las etiquetas de </w:t>
      </w:r>
      <w:r>
        <w:rPr>
          <w:rStyle w:val="CodeChar"/>
        </w:rPr>
        <w:t xml:space="preserve">Syntax.rsc</w:t>
      </w:r>
      <w:r>
        <w:t xml:space="preserve">, y </w:t>
      </w:r>
      <w:r>
        <w:rPr>
          <w:rStyle w:val="CodeChar"/>
        </w:rPr>
        <w:t xml:space="preserve">Implode.rsc</w:t>
      </w:r>
      <w:r>
        <w:t xml:space="preserve"> usa </w:t>
      </w:r>
      <w:r>
        <w:rPr>
          <w:rStyle w:val="CodeChar"/>
        </w:rPr>
        <w:t xml:space="preserve">implode</w:t>
      </w:r>
      <w:r>
        <w:t xml:space="preserve"> para obtener el AST.</w:t>
      </w:r>
    </w:p>
    <w:p>
      <w:pPr>
        <w:pStyle w:val="ListParagraph"/>
        <w:numPr>
          <w:ilvl w:val="0"/>
          <w:numId w:val="3"/>
        </w:numPr>
      </w:pPr>
      <w:r>
        <w:t xml:space="preserve">Las partes opcionales (</w:t>
      </w:r>
      <w:r>
        <w:rPr>
          <w:rStyle w:val="CodeChar"/>
        </w:rPr>
        <w:t xml:space="preserve">X?</w:t>
      </w:r>
      <w:r>
        <w:t xml:space="preserve">) se representan como </w:t>
      </w:r>
      <w:r>
        <w:rPr>
          <w:rStyle w:val="CodeChar"/>
        </w:rPr>
        <w:t xml:space="preserve">list[X]</w:t>
      </w:r>
      <w:r>
        <w:t xml:space="preserve"> con 0 o 1 elemento.</w:t>
      </w:r>
    </w:p>
    <w:p>
      <w:pPr>
        <w:pStyle w:val="ListParagraph"/>
        <w:numPr>
          <w:ilvl w:val="0"/>
          <w:numId w:val="3"/>
        </w:numPr>
      </w:pPr>
      <w:r>
        <w:t xml:space="preserve">Los paréntesis no generan nodo en el AST.</w:t>
      </w:r>
    </w:p>
    <w:p>
      <w:pPr>
        <w:pStyle w:val="Heading2"/>
      </w:pPr>
      <w:r>
        <w:t xml:space="preserve">5. Ajustes durante la integración y las pruebas</w:t>
      </w:r>
    </w:p>
    <w:p>
      <w:pPr/>
      <w:r>
        <w:t xml:space="preserve">Después de la primera versión, al probar el código con </w:t>
      </w:r>
      <w:r>
        <w:rPr>
          <w:rStyle w:val="CodeChar"/>
        </w:rPr>
        <w:t xml:space="preserve">examples/ejemplo1.obj</w:t>
      </w:r>
      <w:r>
        <w:t xml:space="preserve"> (que incluye el ejemplo del enunciado) se hicieron estos cambios adicionales a </w:t>
      </w:r>
      <w:r>
        <w:rPr>
          <w:rStyle w:val="CodeChar"/>
        </w:rPr>
        <w:t xml:space="preserve">Syntax.rsc</w:t>
      </w:r>
      <w:r>
        <w:t xml:space="preserve"> y </w:t>
      </w:r>
      <w:r>
        <w:rPr>
          <w:rStyle w:val="CodeChar"/>
        </w:rPr>
        <w:t xml:space="preserve">AST.rsc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Parámetros con val.</w:t>
      </w:r>
      <w:r>
        <w:t xml:space="preserve"> </w:t>
      </w:r>
      <w:r>
        <w:rPr>
          <w:rStyle w:val="CodeChar"/>
        </w:rPr>
        <w:t xml:space="preserve">Param</w:t>
      </w:r>
      <w:r>
        <w:t xml:space="preserve"> acepta también </w:t>
      </w:r>
      <w:r>
        <w:rPr>
          <w:rStyle w:val="CodeChar"/>
        </w:rPr>
        <w:t xml:space="preserve">valParam: "val" Id ":" TypeExpr</w:t>
      </w:r>
      <w:r>
        <w:t xml:space="preserve">, necesario para </w:t>
      </w:r>
      <w:r>
        <w:rPr>
          <w:rStyle w:val="CodeChar"/>
        </w:rPr>
        <w:t xml:space="preserve">object List [+A](val item : A)</w:t>
      </w:r>
      <w:r>
        <w:t xml:space="preserve">. El AST tiene el constructor </w:t>
      </w:r>
      <w:r>
        <w:rPr>
          <w:rStyle w:val="CodeChar"/>
        </w:rPr>
        <w:t xml:space="preserve">valParam</w:t>
      </w:r>
      <w:r>
        <w:t xml:space="preserve"> en </w:t>
      </w:r>
      <w:r>
        <w:rPr>
          <w:rStyle w:val="CodeChar"/>
        </w:rPr>
        <w:t xml:space="preserve">AParam</w:t>
      </w:r>
      <w:r>
        <w:t xml:space="preserve"> para conservar el modificador.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Métodos sin signo igual.</w:t>
      </w:r>
      <w:r>
        <w:t xml:space="preserve"> </w:t>
      </w:r>
      <w:r>
        <w:rPr>
          <w:rStyle w:val="CodeChar"/>
        </w:rPr>
        <w:t xml:space="preserve">methodDef</w:t>
      </w:r>
      <w:r>
        <w:t xml:space="preserve"> tiene una segunda producción sin </w:t>
      </w:r>
      <w:r>
        <w:rPr>
          <w:rStyle w:val="CodeChar"/>
        </w:rPr>
        <w:t xml:space="preserve">=</w:t>
      </w:r>
      <w:r>
        <w:t xml:space="preserve"> antes del bloque, para aceptar </w:t>
      </w:r>
      <w:r>
        <w:rPr>
          <w:rStyle w:val="CodeChar"/>
        </w:rPr>
        <w:t xml:space="preserve">method main { ... }</w:t>
      </w:r>
      <w:r>
        <w:t xml:space="preserve">. </w:t>
      </w:r>
      <w:r>
        <w:rPr>
          <w:rStyle w:val="CodeChar"/>
        </w:rPr>
        <w:t xml:space="preserve">overrideDef</w:t>
      </w:r>
      <w:r>
        <w:t xml:space="preserve"> conserva su regla con </w:t>
      </w:r>
      <w:r>
        <w:rPr>
          <w:rStyle w:val="CodeChar"/>
        </w:rPr>
        <w:t xml:space="preserve">=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Tipo de retorno opcional en la asignación de métodos.</w:t>
      </w:r>
      <w:r>
        <w:t xml:space="preserve"> En </w:t>
      </w:r>
      <w:r>
        <w:rPr>
          <w:rStyle w:val="CodeChar"/>
        </w:rPr>
        <w:t xml:space="preserve">methodAssign</w:t>
      </w:r>
      <w:r>
        <w:t xml:space="preserve"> (</w:t>
      </w:r>
      <w:r>
        <w:rPr>
          <w:rStyle w:val="CodeChar"/>
        </w:rPr>
        <w:t xml:space="preserve">c.inc = method(...) ... { }</w:t>
      </w:r>
      <w:r>
        <w:t xml:space="preserve">) el tipo ahora es </w:t>
      </w:r>
      <w:r>
        <w:rPr>
          <w:rStyle w:val="CodeChar"/>
        </w:rPr>
        <w:t xml:space="preserve">TypeAnn?</w:t>
      </w:r>
      <w:r>
        <w:t xml:space="preserve">. En el AST </w:t>
      </w:r>
      <w:r>
        <w:rPr>
          <w:rStyle w:val="CodeChar"/>
        </w:rPr>
        <w:t xml:space="preserve">returnType</w:t>
      </w:r>
      <w:r>
        <w:t xml:space="preserve"> pasó a </w:t>
      </w:r>
      <w:r>
        <w:rPr>
          <w:rStyle w:val="CodeChar"/>
        </w:rPr>
        <w:t xml:space="preserve">list[ATypeAnn]</w:t>
      </w:r>
      <w:r>
        <w:t xml:space="preserve"> y el campo de parámetros se llama </w:t>
      </w:r>
      <w:r>
        <w:rPr>
          <w:rStyle w:val="CodeChar"/>
        </w:rPr>
        <w:t xml:space="preserve">requiredParameters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Restricción de paréntesis en invocaciones y en new.</w:t>
      </w:r>
      <w:r>
        <w:t xml:space="preserve"> </w:t>
      </w:r>
      <w:r>
        <w:rPr>
          <w:rStyle w:val="CodeChar"/>
        </w:rPr>
        <w:t xml:space="preserve">Invocation</w:t>
      </w:r>
      <w:r>
        <w:t xml:space="preserve"> y </w:t>
      </w:r>
      <w:r>
        <w:rPr>
          <w:rStyle w:val="CodeChar"/>
        </w:rPr>
        <w:t xml:space="preserve">newObject</w:t>
      </w:r>
      <w:r>
        <w:t xml:space="preserve"> llevan </w:t>
      </w:r>
      <w:r>
        <w:rPr>
          <w:rStyle w:val="CodeChar"/>
        </w:rPr>
        <w:t xml:space="preserve">!&gt;&gt; "("</w:t>
      </w:r>
      <w:r>
        <w:t xml:space="preserve">: un paréntesis que sigue a una invocación o a un </w:t>
      </w:r>
      <w:r>
        <w:rPr>
          <w:rStyle w:val="CodeChar"/>
        </w:rPr>
        <w:t xml:space="preserve">new</w:t>
      </w:r>
      <w:r>
        <w:t xml:space="preserve"> se toma siempre como lista de argumentos, y no como el inicio de otra sentencia </w:t>
      </w:r>
      <w:r>
        <w:rPr>
          <w:rStyle w:val="CodeChar"/>
        </w:rPr>
        <w:t xml:space="preserve">(expr)</w:t>
      </w:r>
      <w:r>
        <w:t xml:space="preserve">. Esto evita la ambigüedad entre </w:t>
      </w:r>
      <w:r>
        <w:rPr>
          <w:rStyle w:val="CodeChar"/>
        </w:rPr>
        <w:t xml:space="preserve">f (x)</w:t>
      </w:r>
      <w:r>
        <w:t xml:space="preserve"> como una llamada o como dos sentencias.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Tokens auxiliares.</w:t>
      </w:r>
      <w:r>
        <w:t xml:space="preserve"> </w:t>
      </w:r>
      <w:r>
        <w:rPr>
          <w:rStyle w:val="CodeChar"/>
        </w:rPr>
        <w:t xml:space="preserve">Digits</w:t>
      </w:r>
      <w:r>
        <w:t xml:space="preserve"> es compartido por </w:t>
      </w:r>
      <w:r>
        <w:rPr>
          <w:rStyle w:val="CodeChar"/>
        </w:rPr>
        <w:t xml:space="preserve">IntLit</w:t>
      </w:r>
      <w:r>
        <w:t xml:space="preserve"> y </w:t>
      </w:r>
      <w:r>
        <w:rPr>
          <w:rStyle w:val="CodeChar"/>
        </w:rPr>
        <w:t xml:space="preserve">FloatLit</w:t>
      </w:r>
      <w:r>
        <w:t xml:space="preserve"> (la definición anterior de </w:t>
      </w:r>
      <w:r>
        <w:rPr>
          <w:rStyle w:val="CodeChar"/>
        </w:rPr>
        <w:t xml:space="preserve">FloatLit</w:t>
      </w:r>
      <w:r>
        <w:t xml:space="preserve"> era ambigua para Rascal). </w:t>
      </w:r>
      <w:r>
        <w:rPr>
          <w:rStyle w:val="CodeChar"/>
        </w:rPr>
        <w:t xml:space="preserve">TypeName</w:t>
      </w:r>
      <w:r>
        <w:t xml:space="preserve"> es el identificador de tipos, aparte de </w:t>
      </w:r>
      <w:r>
        <w:rPr>
          <w:rStyle w:val="CodeChar"/>
        </w:rPr>
        <w:t xml:space="preserve">Id</w:t>
      </w:r>
      <w:r>
        <w:t xml:space="preserve">, para poder resaltarlo con la categoría </w:t>
      </w:r>
      <w:r>
        <w:rPr>
          <w:rStyle w:val="CodeChar"/>
        </w:rPr>
        <w:t xml:space="preserve">Type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Detalles de notación en Rascal.</w:t>
      </w:r>
      <w:r>
        <w:t xml:space="preserve"> Los operadores </w:t>
      </w:r>
      <w:r>
        <w:rPr>
          <w:rStyle w:val="CodeChar"/>
        </w:rPr>
        <w:t xml:space="preserve">&lt;</w:t>
      </w:r>
      <w:r>
        <w:t xml:space="preserve">, </w:t>
      </w:r>
      <w:r>
        <w:rPr>
          <w:rStyle w:val="CodeChar"/>
        </w:rPr>
        <w:t xml:space="preserve">&gt;</w:t>
      </w:r>
      <w:r>
        <w:t xml:space="preserve">, </w:t>
      </w:r>
      <w:r>
        <w:rPr>
          <w:rStyle w:val="CodeChar"/>
        </w:rPr>
        <w:t xml:space="preserve">&lt;=</w:t>
      </w:r>
      <w:r>
        <w:t xml:space="preserve">, </w:t>
      </w:r>
      <w:r>
        <w:rPr>
          <w:rStyle w:val="CodeChar"/>
        </w:rPr>
        <w:t xml:space="preserve">&gt;=</w:t>
      </w:r>
      <w:r>
        <w:t xml:space="preserve">, </w:t>
      </w:r>
      <w:r>
        <w:rPr>
          <w:rStyle w:val="CodeChar"/>
        </w:rPr>
        <w:t xml:space="preserve">&lt;&gt;</w:t>
      </w:r>
      <w:r>
        <w:t xml:space="preserve"> y la flecha </w:t>
      </w:r>
      <w:r>
        <w:rPr>
          <w:rStyle w:val="CodeChar"/>
        </w:rPr>
        <w:t xml:space="preserve">&lt;-</w:t>
      </w:r>
      <w:r>
        <w:t xml:space="preserve"> se escriben escapados en el código (</w:t>
      </w:r>
      <w:r>
        <w:rPr>
          <w:rStyle w:val="CodeChar"/>
        </w:rPr>
        <w:t xml:space="preserve">"\&lt;"</w:t>
      </w:r>
      <w:r>
        <w:t xml:space="preserve">, etc.). La producción de paréntesis se etiqueta </w:t>
      </w:r>
      <w:r>
        <w:rPr>
          <w:rStyle w:val="CodeChar"/>
        </w:rPr>
        <w:t xml:space="preserve">bracket</w:t>
      </w:r>
      <w:r>
        <w:t xml:space="preserve"> para que no genere nodo en el AST.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Pruebas.</w:t>
      </w:r>
      <w:r>
        <w:t xml:space="preserve"> </w:t>
      </w:r>
      <w:r>
        <w:rPr>
          <w:rStyle w:val="CodeChar"/>
        </w:rPr>
        <w:t xml:space="preserve">Tests.rsc</w:t>
      </w:r>
      <w:r>
        <w:t xml:space="preserve"> comprueba la estructura del AST con patrones (sin comparar las anotaciones de ubicación) e incluye casos para parámetros </w:t>
      </w:r>
      <w:r>
        <w:rPr>
          <w:rStyle w:val="CodeChar"/>
        </w:rPr>
        <w:t xml:space="preserve">val</w:t>
      </w:r>
      <w:r>
        <w:t xml:space="preserve">, métodos sin </w:t>
      </w:r>
      <w:r>
        <w:rPr>
          <w:rStyle w:val="CodeChar"/>
        </w:rPr>
        <w:t xml:space="preserve">=</w:t>
      </w:r>
      <w:r>
        <w:t xml:space="preserve">, métodos asignados sin tipo, negativos, precedencia y asociatividad.</w:t>
      </w:r>
    </w:p>
    <w:p>
      <w:pPr>
        <w:pStyle w:val="Heading2"/>
      </w:pPr>
      <w:r>
        <w:t xml:space="preserve">6. Decisiones y limitaciones a tener en cuenta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No hay reasignación.</w:t>
      </w:r>
      <w:r>
        <w:t xml:space="preserve"> La gramática del P1 solo tiene </w:t>
      </w:r>
      <w:r>
        <w:rPr>
          <w:rStyle w:val="CodeChar"/>
        </w:rPr>
        <w:t xml:space="preserve">=</w:t>
      </w:r>
      <w:r>
        <w:t xml:space="preserve"> como igualdad dentro de expresiones, y </w:t>
      </w:r>
      <w:r>
        <w:rPr>
          <w:rStyle w:val="CodeChar"/>
        </w:rPr>
        <w:t xml:space="preserve">val</w:t>
      </w:r>
      <w:r>
        <w:t xml:space="preserve">/</w:t>
      </w:r>
      <w:r>
        <w:rPr>
          <w:rStyle w:val="CodeChar"/>
        </w:rPr>
        <w:t xml:space="preserve">var</w:t>
      </w:r>
      <w:r>
        <w:t xml:space="preserve"> como declaraciones. Agregar </w:t>
      </w:r>
      <w:r>
        <w:rPr>
          <w:rStyle w:val="CodeChar"/>
        </w:rPr>
        <w:t xml:space="preserve">x = e</w:t>
      </w:r>
      <w:r>
        <w:t xml:space="preserve"> como sentencia la haría ambigua con la igualdad.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Sentencias sin separador.</w:t>
      </w:r>
      <w:r>
        <w:t xml:space="preserve"> Como las sentencias no llevan separador, una expresión que empieza con </w:t>
      </w:r>
      <w:r>
        <w:rPr>
          <w:rStyle w:val="CodeChar"/>
        </w:rPr>
        <w:t xml:space="preserve">-</w:t>
      </w:r>
      <w:r>
        <w:t xml:space="preserve"> (o con </w:t>
      </w:r>
      <w:r>
        <w:rPr>
          <w:rStyle w:val="CodeChar"/>
        </w:rPr>
        <w:t xml:space="preserve">(</w:t>
      </w:r>
      <w:r>
        <w:t xml:space="preserve">) justo después de otra que termina en una expresión puede leerse de dos formas. Por ejemplo, </w:t>
      </w:r>
      <w:r>
        <w:rPr>
          <w:rStyle w:val="CodeChar"/>
        </w:rPr>
        <w:t xml:space="preserve">val x = 1 - 2</w:t>
      </w:r>
      <w:r>
        <w:t xml:space="preserve"> es ambiguo: puede ser la resta </w:t>
      </w:r>
      <w:r>
        <w:rPr>
          <w:rStyle w:val="CodeChar"/>
        </w:rPr>
        <w:t xml:space="preserve">1 - 2</w:t>
      </w:r>
      <w:r>
        <w:t xml:space="preserve"> o la sentencia </w:t>
      </w:r>
      <w:r>
        <w:rPr>
          <w:rStyle w:val="CodeChar"/>
        </w:rPr>
        <w:t xml:space="preserve">val x = 1</w:t>
      </w:r>
      <w:r>
        <w:t xml:space="preserve"> seguida de la sentencia </w:t>
      </w:r>
      <w:r>
        <w:rPr>
          <w:rStyle w:val="CodeChar"/>
        </w:rPr>
        <w:t xml:space="preserve">-2</w:t>
      </w:r>
      <w:r>
        <w:t xml:space="preserve">. Esta ambigüedad </w:t>
      </w:r>
      <w:r>
        <w:rPr>
          <w:b/>
        </w:rPr>
        <w:t xml:space="preserve">no se resolvió en la gramática</w:t>
      </w:r>
      <w:r>
        <w:t xml:space="preserve"> (no se usaron filtros </w:t>
      </w:r>
      <w:r>
        <w:rPr>
          <w:rStyle w:val="CodeChar"/>
        </w:rPr>
        <w:t xml:space="preserve">prefer</w:t>
      </w:r>
      <w:r>
        <w:t xml:space="preserve">/</w:t>
      </w:r>
      <w:r>
        <w:rPr>
          <w:rStyle w:val="CodeChar"/>
        </w:rPr>
        <w:t xml:space="preserve">avoid</w:t>
      </w:r>
      <w:r>
        <w:t xml:space="preserve"> ni reglas adicionales). Se evita escribiendo paréntesis, como en la prueba de asociatividad </w:t>
      </w:r>
      <w:r>
        <w:rPr>
          <w:rStyle w:val="CodeChar"/>
        </w:rPr>
        <w:t xml:space="preserve">val x = (1 - 2 - 3)</w:t>
      </w:r>
      <w:r>
        <w:t xml:space="preserve">, o separando con </w:t>
      </w:r>
      <w:r>
        <w:rPr>
          <w:rStyle w:val="CodeChar"/>
        </w:rPr>
        <w:t xml:space="preserve">;</w:t>
      </w:r>
      <w:r>
        <w:t xml:space="preserve">, que es una sentencia vacía.</w:t>
      </w:r>
    </w:p>
    <w:p>
      <w:pPr>
        <w:pStyle w:val="ListParagraph"/>
        <w:numPr>
          <w:ilvl w:val="0"/>
          <w:numId w:val="4"/>
        </w:numPr>
      </w:pPr>
      <w:r>
        <w:t xml:space="preserve">Las palabras clave </w:t>
      </w:r>
      <w:r>
        <w:rPr>
          <w:rStyle w:val="CodeChar"/>
        </w:rPr>
        <w:t xml:space="preserve">and</w:t>
      </w:r>
      <w:r>
        <w:t xml:space="preserve">, </w:t>
      </w:r>
      <w:r>
        <w:rPr>
          <w:rStyle w:val="CodeChar"/>
        </w:rPr>
        <w:t xml:space="preserve">or</w:t>
      </w:r>
      <w:r>
        <w:t xml:space="preserve"> y </w:t>
      </w:r>
      <w:r>
        <w:rPr>
          <w:rStyle w:val="CodeChar"/>
        </w:rPr>
        <w:t xml:space="preserve">neg</w:t>
      </w:r>
      <w:r>
        <w:t xml:space="preserve"> se comportan como operadores; los identificadores no pueden usar las palabras reservadas.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Cambios a la gramática – Objectilang</dc:title>
  <dc:description>Claude Docs node/a2e45cb0-6e83@1 docx-w7</dc:description>
  <cp:revision>1</cp:revision>
</cp:coreProperties>
</file>