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F9C25" w14:textId="0C533542" w:rsidR="00487CAB" w:rsidRPr="00B86F71" w:rsidRDefault="00C87455" w:rsidP="00487CAB">
      <w:pPr>
        <w:pStyle w:val="NoSpacing"/>
        <w:spacing w:line="480" w:lineRule="auto"/>
        <w:jc w:val="center"/>
        <w:rPr>
          <w:b/>
          <w:bCs/>
          <w:sz w:val="28"/>
          <w:szCs w:val="28"/>
        </w:rPr>
      </w:pPr>
      <w:r w:rsidRPr="00B86F71">
        <w:rPr>
          <w:b/>
          <w:bCs/>
          <w:sz w:val="28"/>
          <w:szCs w:val="28"/>
        </w:rPr>
        <w:t xml:space="preserve">Recyclables </w:t>
      </w:r>
      <w:r w:rsidR="00D64ACB">
        <w:rPr>
          <w:b/>
          <w:bCs/>
          <w:sz w:val="28"/>
          <w:szCs w:val="28"/>
        </w:rPr>
        <w:t xml:space="preserve">and </w:t>
      </w:r>
      <w:r w:rsidR="00D64ACB" w:rsidRPr="00B86F71">
        <w:rPr>
          <w:b/>
          <w:bCs/>
          <w:sz w:val="28"/>
          <w:szCs w:val="28"/>
        </w:rPr>
        <w:t xml:space="preserve">Organics </w:t>
      </w:r>
      <w:r w:rsidRPr="00B86F71">
        <w:rPr>
          <w:b/>
          <w:bCs/>
          <w:sz w:val="28"/>
          <w:szCs w:val="28"/>
        </w:rPr>
        <w:t xml:space="preserve">in </w:t>
      </w:r>
      <w:r w:rsidR="00A46B74" w:rsidRPr="00B86F71">
        <w:rPr>
          <w:b/>
          <w:bCs/>
          <w:sz w:val="28"/>
          <w:szCs w:val="28"/>
        </w:rPr>
        <w:t xml:space="preserve">Metropolitan </w:t>
      </w:r>
      <w:r w:rsidRPr="00B86F71">
        <w:rPr>
          <w:b/>
          <w:bCs/>
          <w:sz w:val="28"/>
          <w:szCs w:val="28"/>
        </w:rPr>
        <w:t>Minnesota</w:t>
      </w:r>
    </w:p>
    <w:p w14:paraId="69FEF5AB" w14:textId="5E1FDD69" w:rsidR="00B86F71" w:rsidRPr="00B86F71" w:rsidRDefault="00B86F71" w:rsidP="00487CAB">
      <w:pPr>
        <w:pStyle w:val="NoSpacing"/>
        <w:spacing w:line="480" w:lineRule="auto"/>
        <w:jc w:val="center"/>
        <w:rPr>
          <w:sz w:val="24"/>
          <w:szCs w:val="24"/>
        </w:rPr>
      </w:pPr>
      <w:r w:rsidRPr="00B86F71">
        <w:rPr>
          <w:sz w:val="24"/>
          <w:szCs w:val="24"/>
        </w:rPr>
        <w:t>Allen Majd and Gustavo Orozco Nuñez</w:t>
      </w:r>
    </w:p>
    <w:p w14:paraId="305B6F15" w14:textId="1AB5C5EF" w:rsidR="00B86F71" w:rsidRDefault="00B86F71" w:rsidP="00487CAB">
      <w:pPr>
        <w:pStyle w:val="NoSpacing"/>
        <w:spacing w:line="480" w:lineRule="auto"/>
        <w:jc w:val="center"/>
        <w:rPr>
          <w:sz w:val="24"/>
          <w:szCs w:val="24"/>
        </w:rPr>
      </w:pPr>
      <w:r w:rsidRPr="00B86F71">
        <w:rPr>
          <w:sz w:val="24"/>
          <w:szCs w:val="24"/>
        </w:rPr>
        <w:t>STAT 301: Analysis of Variance and Multivariate Analysis</w:t>
      </w:r>
    </w:p>
    <w:p w14:paraId="3CD7DEF7" w14:textId="77777777" w:rsidR="00FC5847" w:rsidRPr="00B86F71" w:rsidRDefault="00FC5847" w:rsidP="00487CAB">
      <w:pPr>
        <w:pStyle w:val="NoSpacing"/>
        <w:spacing w:line="480" w:lineRule="auto"/>
        <w:jc w:val="center"/>
        <w:rPr>
          <w:sz w:val="24"/>
          <w:szCs w:val="24"/>
        </w:rPr>
      </w:pPr>
    </w:p>
    <w:p w14:paraId="3A48CAA6" w14:textId="7A7478A2" w:rsidR="00487CAB" w:rsidRPr="00CF0D31" w:rsidRDefault="00487CAB" w:rsidP="00487CAB">
      <w:pPr>
        <w:pStyle w:val="NoSpacing"/>
        <w:spacing w:line="480" w:lineRule="auto"/>
        <w:rPr>
          <w:b/>
          <w:bCs/>
          <w:sz w:val="24"/>
          <w:szCs w:val="24"/>
          <w:u w:val="single"/>
        </w:rPr>
      </w:pPr>
      <w:r w:rsidRPr="00CF0D31">
        <w:rPr>
          <w:b/>
          <w:bCs/>
          <w:sz w:val="24"/>
          <w:szCs w:val="24"/>
          <w:u w:val="single"/>
        </w:rPr>
        <w:t>Introduction</w:t>
      </w:r>
    </w:p>
    <w:p w14:paraId="665779CD" w14:textId="59729FC8" w:rsidR="003E1341" w:rsidRDefault="00C32C32" w:rsidP="00CF0D31">
      <w:pPr>
        <w:pStyle w:val="NoSpacing"/>
        <w:spacing w:line="480" w:lineRule="auto"/>
        <w:ind w:firstLine="720"/>
      </w:pPr>
      <w:r>
        <w:t>In</w:t>
      </w:r>
      <w:r w:rsidR="00487CAB">
        <w:t xml:space="preserve"> 19</w:t>
      </w:r>
      <w:r w:rsidR="00A703B6">
        <w:t>89</w:t>
      </w:r>
      <w:r w:rsidR="00487CAB">
        <w:t>,</w:t>
      </w:r>
      <w:r>
        <w:t xml:space="preserve"> </w:t>
      </w:r>
      <w:r w:rsidR="008A1F3E">
        <w:t xml:space="preserve">the Minnesotan legislature passed the </w:t>
      </w:r>
      <w:r w:rsidR="008A1F3E" w:rsidRPr="008A1F3E">
        <w:t>Governor’s Select Committee on Recycling and the Environment</w:t>
      </w:r>
      <w:r w:rsidR="008A1F3E">
        <w:t xml:space="preserve"> (SCORE) laws to monitor and improve waste management efforts throughout the state. </w:t>
      </w:r>
      <w:r w:rsidR="005D45C0">
        <w:t xml:space="preserve">Since 1989, </w:t>
      </w:r>
      <w:r w:rsidR="008A1F3E">
        <w:t xml:space="preserve">all </w:t>
      </w:r>
      <w:r>
        <w:t>87 Minnesotan counties have</w:t>
      </w:r>
      <w:r w:rsidR="005D45C0">
        <w:t xml:space="preserve"> </w:t>
      </w:r>
      <w:r w:rsidR="00641922">
        <w:t>reported</w:t>
      </w:r>
      <w:r>
        <w:t xml:space="preserve"> </w:t>
      </w:r>
      <w:r w:rsidR="005D45C0">
        <w:t>various</w:t>
      </w:r>
      <w:r>
        <w:t xml:space="preserve"> waste management </w:t>
      </w:r>
      <w:r w:rsidR="005D45C0">
        <w:t>information</w:t>
      </w:r>
      <w:r w:rsidR="00C220F9">
        <w:t xml:space="preserve"> (</w:t>
      </w:r>
      <w:r w:rsidR="005D45C0">
        <w:t>funding, costs, waste reduction programs</w:t>
      </w:r>
      <w:r w:rsidR="00C220F9">
        <w:t>, etc.)</w:t>
      </w:r>
      <w:r>
        <w:t xml:space="preserve"> to </w:t>
      </w:r>
      <w:r w:rsidR="00F82815">
        <w:t>the Minnesota Pollution Control Agency</w:t>
      </w:r>
      <w:r w:rsidR="00641922">
        <w:t xml:space="preserve"> who have</w:t>
      </w:r>
      <w:r w:rsidR="00E503E0">
        <w:t xml:space="preserve"> </w:t>
      </w:r>
      <w:r w:rsidR="00091AB8">
        <w:t xml:space="preserve">compiled </w:t>
      </w:r>
      <w:r w:rsidR="00E67D4B">
        <w:t xml:space="preserve">the </w:t>
      </w:r>
      <w:r w:rsidR="00065987">
        <w:t xml:space="preserve">county </w:t>
      </w:r>
      <w:r w:rsidR="00E67D4B">
        <w:t>data to create the</w:t>
      </w:r>
      <w:r w:rsidR="00E503E0">
        <w:t xml:space="preserve"> SCORE </w:t>
      </w:r>
      <w:r w:rsidR="00C200F5">
        <w:t xml:space="preserve">report and </w:t>
      </w:r>
      <w:r w:rsidR="00065987">
        <w:t>SCORE</w:t>
      </w:r>
      <w:r w:rsidR="00C200F5">
        <w:t xml:space="preserve"> data set</w:t>
      </w:r>
      <w:r w:rsidR="00E503E0">
        <w:t>.</w:t>
      </w:r>
    </w:p>
    <w:p w14:paraId="011ABCB2" w14:textId="77777777" w:rsidR="00E67D4B" w:rsidRDefault="00E67D4B" w:rsidP="00487CAB">
      <w:pPr>
        <w:pStyle w:val="NoSpacing"/>
        <w:spacing w:line="480" w:lineRule="auto"/>
      </w:pPr>
    </w:p>
    <w:p w14:paraId="021AD7C8" w14:textId="6EBBCCA2" w:rsidR="00C02523" w:rsidRDefault="004C2239" w:rsidP="00CF0D31">
      <w:pPr>
        <w:pStyle w:val="NoSpacing"/>
        <w:spacing w:line="480" w:lineRule="auto"/>
        <w:ind w:firstLine="720"/>
      </w:pPr>
      <w:r>
        <w:t>Examining the</w:t>
      </w:r>
      <w:r w:rsidR="003E1341">
        <w:t xml:space="preserve"> SCORE data, </w:t>
      </w:r>
      <w:r w:rsidR="00E67D4B">
        <w:t xml:space="preserve">analysts </w:t>
      </w:r>
      <w:r>
        <w:t>constructed two research questions</w:t>
      </w:r>
      <w:r w:rsidR="000A1946">
        <w:t xml:space="preserve"> for further analysis</w:t>
      </w:r>
      <w:r>
        <w:t>:</w:t>
      </w:r>
      <w:r w:rsidR="000A1946">
        <w:t xml:space="preserve"> </w:t>
      </w:r>
      <w:r w:rsidR="006E695B">
        <w:t>(1) D</w:t>
      </w:r>
      <w:r w:rsidR="000A1946">
        <w:t xml:space="preserve">id the amount of collected recyclables </w:t>
      </w:r>
      <w:r w:rsidR="00A45EC8">
        <w:t xml:space="preserve">significantly </w:t>
      </w:r>
      <w:r w:rsidR="006E695B">
        <w:t xml:space="preserve">increase </w:t>
      </w:r>
      <w:r w:rsidR="00A45EC8">
        <w:t>between</w:t>
      </w:r>
      <w:r w:rsidR="000A1946">
        <w:t xml:space="preserve"> 2009</w:t>
      </w:r>
      <w:r w:rsidR="00A45EC8">
        <w:t>-</w:t>
      </w:r>
      <w:r w:rsidR="000A1946">
        <w:t>2014</w:t>
      </w:r>
      <w:r w:rsidR="00A45EC8">
        <w:t>, 2014-2019, or 2009-</w:t>
      </w:r>
      <w:r w:rsidR="000A1946">
        <w:t>2019</w:t>
      </w:r>
      <w:r w:rsidR="00065987">
        <w:t xml:space="preserve"> in Minnesota’s metropolitan counties</w:t>
      </w:r>
      <w:r w:rsidR="000A1946">
        <w:t xml:space="preserve">? </w:t>
      </w:r>
      <w:r w:rsidR="006E695B">
        <w:t>(2) Did the amount of collected organics</w:t>
      </w:r>
      <w:r w:rsidR="00A45EC8">
        <w:t xml:space="preserve"> significantly </w:t>
      </w:r>
      <w:r w:rsidR="006E695B">
        <w:t xml:space="preserve">increase </w:t>
      </w:r>
      <w:r w:rsidR="00A45EC8">
        <w:t xml:space="preserve">between 2009-2014, 2014-2019, or 2009-2019 </w:t>
      </w:r>
      <w:r w:rsidR="00065987">
        <w:t>in Minnesota’s metropolitan counties</w:t>
      </w:r>
      <w:r w:rsidR="006E695B">
        <w:t xml:space="preserve">? </w:t>
      </w:r>
      <w:r w:rsidR="000A1946">
        <w:t>Using the SCORE data, a subset data set</w:t>
      </w:r>
      <w:r w:rsidR="000F49AD">
        <w:t xml:space="preserve"> (metro)</w:t>
      </w:r>
      <w:r w:rsidR="000A1946">
        <w:t xml:space="preserve"> was created containing</w:t>
      </w:r>
      <w:r w:rsidR="00E67D4B">
        <w:t xml:space="preserve"> five </w:t>
      </w:r>
      <w:r w:rsidR="00A46B74">
        <w:t>columns of data</w:t>
      </w:r>
      <w:r w:rsidR="00E67D4B">
        <w:t xml:space="preserve">: </w:t>
      </w:r>
      <w:r w:rsidR="00E67D4B" w:rsidRPr="00C743C2">
        <w:rPr>
          <w:i/>
          <w:iCs/>
        </w:rPr>
        <w:t>Year</w:t>
      </w:r>
      <w:r w:rsidR="00E67D4B" w:rsidRPr="00C743C2">
        <w:t xml:space="preserve">, </w:t>
      </w:r>
      <w:r w:rsidR="00E67D4B" w:rsidRPr="00C743C2">
        <w:rPr>
          <w:i/>
          <w:iCs/>
        </w:rPr>
        <w:t>County</w:t>
      </w:r>
      <w:r w:rsidR="00E67D4B" w:rsidRPr="00C743C2">
        <w:t xml:space="preserve">, </w:t>
      </w:r>
      <w:r w:rsidR="00C743C2" w:rsidRPr="00C743C2">
        <w:rPr>
          <w:i/>
          <w:iCs/>
        </w:rPr>
        <w:t>ID</w:t>
      </w:r>
      <w:r w:rsidR="00C743C2" w:rsidRPr="00C743C2">
        <w:t xml:space="preserve">, </w:t>
      </w:r>
      <w:proofErr w:type="spellStart"/>
      <w:r w:rsidR="00E67D4B" w:rsidRPr="00C743C2">
        <w:rPr>
          <w:i/>
          <w:iCs/>
        </w:rPr>
        <w:t>Recycle_Tons</w:t>
      </w:r>
      <w:proofErr w:type="spellEnd"/>
      <w:r w:rsidR="00E67D4B" w:rsidRPr="00C743C2">
        <w:t xml:space="preserve">, and </w:t>
      </w:r>
      <w:proofErr w:type="spellStart"/>
      <w:r w:rsidR="00E67D4B" w:rsidRPr="00C743C2">
        <w:rPr>
          <w:i/>
          <w:iCs/>
        </w:rPr>
        <w:t>Organic_Tons</w:t>
      </w:r>
      <w:proofErr w:type="spellEnd"/>
      <w:r w:rsidR="00E67D4B" w:rsidRPr="00C743C2">
        <w:t>.</w:t>
      </w:r>
      <w:r w:rsidR="00E67D4B">
        <w:t xml:space="preserve"> </w:t>
      </w:r>
      <w:r w:rsidR="003E1341" w:rsidRPr="003E1341">
        <w:rPr>
          <w:i/>
          <w:iCs/>
        </w:rPr>
        <w:t>Year</w:t>
      </w:r>
      <w:r w:rsidR="00C743C2">
        <w:t xml:space="preserve"> </w:t>
      </w:r>
      <w:r w:rsidR="000A1946">
        <w:t>was</w:t>
      </w:r>
      <w:r w:rsidR="00A46B74">
        <w:t xml:space="preserve"> defined as</w:t>
      </w:r>
      <w:r w:rsidR="00C743C2">
        <w:t xml:space="preserve"> </w:t>
      </w:r>
      <w:r w:rsidR="00065987">
        <w:t xml:space="preserve">the </w:t>
      </w:r>
      <w:r w:rsidR="003E1341" w:rsidRPr="00C02523">
        <w:t>data collection year</w:t>
      </w:r>
      <w:r w:rsidR="000A1946">
        <w:t xml:space="preserve"> and was selected as the independent categorical variable</w:t>
      </w:r>
      <w:r w:rsidR="006E695B">
        <w:t xml:space="preserve"> for research questions 1 and 2</w:t>
      </w:r>
      <w:r w:rsidR="000A1946">
        <w:t xml:space="preserve">. </w:t>
      </w:r>
      <w:r w:rsidR="00C743C2">
        <w:t xml:space="preserve"> </w:t>
      </w:r>
      <w:r w:rsidR="00C743C2" w:rsidRPr="00A46B74">
        <w:rPr>
          <w:i/>
          <w:iCs/>
        </w:rPr>
        <w:t>County</w:t>
      </w:r>
      <w:r w:rsidR="00C743C2">
        <w:t xml:space="preserve"> </w:t>
      </w:r>
      <w:r w:rsidR="000A1946">
        <w:t>was</w:t>
      </w:r>
      <w:r w:rsidR="00A46B74">
        <w:t xml:space="preserve"> defined as</w:t>
      </w:r>
      <w:r w:rsidR="00C743C2">
        <w:t xml:space="preserve"> one of </w:t>
      </w:r>
      <w:r w:rsidR="00A46B74">
        <w:t xml:space="preserve">the </w:t>
      </w:r>
      <w:r w:rsidR="00C743C2">
        <w:t>seven metropolitan counties in Minnesota (Anoka, Carver, Dakota, Hennepin, Ramsey, Scott, and Washington).</w:t>
      </w:r>
      <w:r w:rsidR="00A46B74">
        <w:t xml:space="preserve"> </w:t>
      </w:r>
      <w:r w:rsidR="00A46B74">
        <w:rPr>
          <w:i/>
          <w:iCs/>
        </w:rPr>
        <w:t>ID</w:t>
      </w:r>
      <w:r w:rsidR="00A46B74">
        <w:t xml:space="preserve"> assigned </w:t>
      </w:r>
      <w:r w:rsidR="00687B53">
        <w:t xml:space="preserve">a unique value to each </w:t>
      </w:r>
      <w:r w:rsidR="00687B53" w:rsidRPr="00687B53">
        <w:rPr>
          <w:i/>
          <w:iCs/>
        </w:rPr>
        <w:t>County</w:t>
      </w:r>
      <w:r w:rsidR="00A46B74">
        <w:t xml:space="preserve"> (Anoka = 1, Carver = 2 , Dakota = 3, Hennepin = 4 , Ramsey = 5 , Scott = 6, and Washington = 7).</w:t>
      </w:r>
      <w:r>
        <w:t xml:space="preserve"> </w:t>
      </w:r>
      <w:proofErr w:type="spellStart"/>
      <w:r>
        <w:rPr>
          <w:i/>
          <w:iCs/>
        </w:rPr>
        <w:t>Recycle</w:t>
      </w:r>
      <w:r w:rsidR="006B18B4">
        <w:rPr>
          <w:i/>
          <w:iCs/>
        </w:rPr>
        <w:t>_</w:t>
      </w:r>
      <w:r>
        <w:rPr>
          <w:i/>
          <w:iCs/>
        </w:rPr>
        <w:t>Tons</w:t>
      </w:r>
      <w:proofErr w:type="spellEnd"/>
      <w:r>
        <w:t xml:space="preserve"> </w:t>
      </w:r>
      <w:r w:rsidR="006E695B">
        <w:t xml:space="preserve">was </w:t>
      </w:r>
      <w:r>
        <w:t xml:space="preserve">defined as tons of collected recyclables </w:t>
      </w:r>
      <w:r w:rsidR="006E695B">
        <w:t xml:space="preserve">from each metropolitan Minnesota county </w:t>
      </w:r>
      <w:r w:rsidR="000A1946">
        <w:t xml:space="preserve">and </w:t>
      </w:r>
      <w:r>
        <w:t xml:space="preserve">was selected as the dependent numerical variable for research </w:t>
      </w:r>
      <w:r>
        <w:lastRenderedPageBreak/>
        <w:t>question 1</w:t>
      </w:r>
      <w:r w:rsidR="008A6C4B">
        <w:t xml:space="preserve"> (RQ1)</w:t>
      </w:r>
      <w:r w:rsidR="006E695B">
        <w:t>.</w:t>
      </w:r>
      <w:r w:rsidR="006E695B" w:rsidRPr="006E695B">
        <w:rPr>
          <w:i/>
          <w:iCs/>
        </w:rPr>
        <w:t xml:space="preserve"> </w:t>
      </w:r>
      <w:proofErr w:type="spellStart"/>
      <w:r w:rsidR="006E695B">
        <w:rPr>
          <w:i/>
          <w:iCs/>
        </w:rPr>
        <w:t>Organic</w:t>
      </w:r>
      <w:r w:rsidR="006B18B4">
        <w:rPr>
          <w:i/>
          <w:iCs/>
        </w:rPr>
        <w:t>_</w:t>
      </w:r>
      <w:r w:rsidR="006E695B">
        <w:rPr>
          <w:i/>
          <w:iCs/>
        </w:rPr>
        <w:t>Tons</w:t>
      </w:r>
      <w:proofErr w:type="spellEnd"/>
      <w:r w:rsidR="006E695B">
        <w:t xml:space="preserve"> was defined as tons of collected organics from each metropolitan Minnesota county and was selected as the dependent numerical variable for research question 2</w:t>
      </w:r>
      <w:r w:rsidR="008A6C4B">
        <w:t xml:space="preserve"> (RQ2)</w:t>
      </w:r>
      <w:r w:rsidR="006E695B">
        <w:t xml:space="preserve">. </w:t>
      </w:r>
      <w:r w:rsidR="006B18B4">
        <w:t>RQ1 and RQ2</w:t>
      </w:r>
      <w:r w:rsidR="000F49AD">
        <w:t xml:space="preserve"> are </w:t>
      </w:r>
      <w:r w:rsidR="00687B53">
        <w:t xml:space="preserve">both </w:t>
      </w:r>
      <w:r w:rsidR="000F49AD">
        <w:t xml:space="preserve">represented by the following </w:t>
      </w:r>
      <w:r w:rsidR="00C02523">
        <w:t>null and alternat</w:t>
      </w:r>
      <w:r w:rsidR="00033F35">
        <w:t>ive</w:t>
      </w:r>
      <w:r w:rsidR="00C02523">
        <w:t xml:space="preserve"> hypotheses</w:t>
      </w:r>
      <w:r w:rsidR="00E67D4B">
        <w:t>.</w:t>
      </w:r>
    </w:p>
    <w:p w14:paraId="39DFE334" w14:textId="3EC8B3F3" w:rsidR="00C02523" w:rsidRDefault="002A5242" w:rsidP="00487CAB">
      <w:pPr>
        <w:pStyle w:val="NoSpacing"/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2009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2014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2019</m:t>
              </m:r>
            </m:sub>
          </m:sSub>
        </m:oMath>
      </m:oMathPara>
    </w:p>
    <w:p w14:paraId="7B89E954" w14:textId="0375D32D" w:rsidR="00E503E0" w:rsidRDefault="002A5242" w:rsidP="00C02523">
      <w:pPr>
        <w:pStyle w:val="NoSpacing"/>
        <w:spacing w:line="480" w:lineRule="auto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:</m:t>
        </m:r>
      </m:oMath>
      <w:r w:rsidR="00C02523">
        <w:rPr>
          <w:rFonts w:eastAsiaTheme="minorEastAsia"/>
        </w:rPr>
        <w:t xml:space="preserve">  At least </w:t>
      </w:r>
      <w:r w:rsidR="009664C6">
        <w:rPr>
          <w:rFonts w:eastAsiaTheme="minorEastAsia"/>
        </w:rPr>
        <w:t>2</w:t>
      </w:r>
      <w:r w:rsidR="00C02523">
        <w:rPr>
          <w:rFonts w:eastAsiaTheme="minorEastAsia"/>
        </w:rPr>
        <w:t xml:space="preserve"> </w:t>
      </w:r>
      <w:proofErr w:type="gramStart"/>
      <w:r w:rsidR="00C02523">
        <w:rPr>
          <w:rFonts w:eastAsiaTheme="minorEastAsia"/>
        </w:rPr>
        <w:t>mean</w:t>
      </w:r>
      <w:r w:rsidR="009664C6">
        <w:rPr>
          <w:rFonts w:eastAsiaTheme="minorEastAsia"/>
        </w:rPr>
        <w:t>s</w:t>
      </w:r>
      <w:proofErr w:type="gramEnd"/>
      <w:r w:rsidR="00C02523">
        <w:rPr>
          <w:rFonts w:eastAsiaTheme="minorEastAsia"/>
        </w:rPr>
        <w:t xml:space="preserve"> </w:t>
      </w:r>
      <w:r w:rsidR="009664C6">
        <w:rPr>
          <w:rFonts w:eastAsiaTheme="minorEastAsia"/>
        </w:rPr>
        <w:t>are</w:t>
      </w:r>
      <w:r w:rsidR="00C02523">
        <w:rPr>
          <w:rFonts w:eastAsiaTheme="minorEastAsia"/>
        </w:rPr>
        <w:t xml:space="preserve"> different</w:t>
      </w:r>
      <w:r w:rsidR="000F49AD">
        <w:rPr>
          <w:rFonts w:eastAsiaTheme="minorEastAsia"/>
        </w:rPr>
        <w:t>.</w:t>
      </w:r>
    </w:p>
    <w:p w14:paraId="6A13633B" w14:textId="77777777" w:rsidR="000871A9" w:rsidRDefault="000871A9" w:rsidP="000871A9">
      <w:pPr>
        <w:pStyle w:val="NoSpacing"/>
        <w:spacing w:line="480" w:lineRule="auto"/>
        <w:rPr>
          <w:rFonts w:eastAsiaTheme="minorEastAsia"/>
        </w:rPr>
      </w:pPr>
    </w:p>
    <w:p w14:paraId="7A75BF20" w14:textId="27E822CD" w:rsidR="007E2C0F" w:rsidRPr="00CF0D31" w:rsidRDefault="007E2C0F" w:rsidP="007E2C0F">
      <w:pPr>
        <w:pStyle w:val="NoSpacing"/>
        <w:spacing w:line="480" w:lineRule="auto"/>
        <w:rPr>
          <w:rFonts w:eastAsiaTheme="minorEastAsia"/>
          <w:b/>
          <w:bCs/>
          <w:sz w:val="24"/>
          <w:szCs w:val="24"/>
          <w:u w:val="single"/>
        </w:rPr>
      </w:pPr>
      <w:r w:rsidRPr="00CF0D31">
        <w:rPr>
          <w:rFonts w:eastAsiaTheme="minorEastAsia"/>
          <w:b/>
          <w:bCs/>
          <w:sz w:val="24"/>
          <w:szCs w:val="24"/>
          <w:u w:val="single"/>
        </w:rPr>
        <w:t>Methods</w:t>
      </w:r>
    </w:p>
    <w:p w14:paraId="439B8C0F" w14:textId="1EAD0B6D" w:rsidR="00DE4F23" w:rsidRDefault="000F49AD" w:rsidP="00CF0D31">
      <w:pPr>
        <w:pStyle w:val="NoSpacing"/>
        <w:spacing w:line="480" w:lineRule="auto"/>
        <w:ind w:firstLine="720"/>
      </w:pPr>
      <w:r>
        <w:t xml:space="preserve">R was used to analyze the metro data set. </w:t>
      </w:r>
      <w:r w:rsidR="00033F35">
        <w:t xml:space="preserve">The </w:t>
      </w:r>
      <w:r w:rsidR="00033F35" w:rsidRPr="00033F35">
        <w:t>One-Way Repeated Measures ANOVA</w:t>
      </w:r>
      <w:r w:rsidR="00033F35">
        <w:t xml:space="preserve"> was selected as the preferred hypothesis test because </w:t>
      </w:r>
      <w:r w:rsidR="00111384">
        <w:t xml:space="preserve">the mean amount differences of </w:t>
      </w:r>
      <w:r w:rsidR="008A6C4B">
        <w:t xml:space="preserve">collected </w:t>
      </w:r>
      <w:r w:rsidR="00111384">
        <w:t xml:space="preserve">recyclables and mean amount differences of </w:t>
      </w:r>
      <w:r w:rsidR="008A6C4B">
        <w:t xml:space="preserve">collected </w:t>
      </w:r>
      <w:r w:rsidR="00111384">
        <w:t xml:space="preserve">organics were compared, </w:t>
      </w:r>
      <w:r w:rsidR="00826EED">
        <w:t xml:space="preserve">only </w:t>
      </w:r>
      <w:r w:rsidR="00033F35">
        <w:t>one independent categorical variable (</w:t>
      </w:r>
      <w:r w:rsidR="00033F35" w:rsidRPr="00033F35">
        <w:rPr>
          <w:i/>
          <w:iCs/>
        </w:rPr>
        <w:t>Year</w:t>
      </w:r>
      <w:r w:rsidR="00033F35">
        <w:t>) and one dependent numerical variable (</w:t>
      </w:r>
      <w:proofErr w:type="spellStart"/>
      <w:r w:rsidR="00687B53" w:rsidRPr="00687B53">
        <w:rPr>
          <w:i/>
          <w:iCs/>
        </w:rPr>
        <w:t>Recycle</w:t>
      </w:r>
      <w:r w:rsidR="00687B53">
        <w:t>_</w:t>
      </w:r>
      <w:r w:rsidR="00033F35" w:rsidRPr="00033F35">
        <w:rPr>
          <w:i/>
          <w:iCs/>
        </w:rPr>
        <w:t>Tons</w:t>
      </w:r>
      <w:proofErr w:type="spellEnd"/>
      <w:r w:rsidR="00687B53">
        <w:t xml:space="preserve"> </w:t>
      </w:r>
      <w:r w:rsidR="008A6C4B">
        <w:t xml:space="preserve">for RQ1 or </w:t>
      </w:r>
      <w:proofErr w:type="spellStart"/>
      <w:r w:rsidR="00687B53" w:rsidRPr="00687B53">
        <w:rPr>
          <w:i/>
          <w:iCs/>
        </w:rPr>
        <w:t>Organic_Tons</w:t>
      </w:r>
      <w:proofErr w:type="spellEnd"/>
      <w:r w:rsidR="008A6C4B">
        <w:rPr>
          <w:i/>
          <w:iCs/>
        </w:rPr>
        <w:t xml:space="preserve"> </w:t>
      </w:r>
      <w:r w:rsidR="008A6C4B" w:rsidRPr="008A6C4B">
        <w:t>for RQ2</w:t>
      </w:r>
      <w:r w:rsidR="00033F35" w:rsidRPr="008A6C4B">
        <w:t xml:space="preserve">) </w:t>
      </w:r>
      <w:r w:rsidR="00033F35">
        <w:t xml:space="preserve">were </w:t>
      </w:r>
      <w:r w:rsidR="00826EED">
        <w:t>selected</w:t>
      </w:r>
      <w:r w:rsidR="009664C6">
        <w:t>,</w:t>
      </w:r>
      <w:r w:rsidR="00033F35">
        <w:t xml:space="preserve"> </w:t>
      </w:r>
      <w:r w:rsidR="008A6C4B">
        <w:t xml:space="preserve">and </w:t>
      </w:r>
      <w:r w:rsidR="00033F35" w:rsidRPr="00033F35">
        <w:rPr>
          <w:i/>
          <w:iCs/>
        </w:rPr>
        <w:t>Year</w:t>
      </w:r>
      <w:r w:rsidR="00033F35">
        <w:t xml:space="preserve"> </w:t>
      </w:r>
      <w:r w:rsidR="00111384">
        <w:t>was a repeated measure with</w:t>
      </w:r>
      <w:r w:rsidR="00033F35">
        <w:t xml:space="preserve"> three levels (2009, 2014, and 20</w:t>
      </w:r>
      <w:r>
        <w:t>1</w:t>
      </w:r>
      <w:r w:rsidR="00033F35">
        <w:t>9)</w:t>
      </w:r>
      <w:r w:rsidR="00111384">
        <w:t xml:space="preserve">. </w:t>
      </w:r>
      <w:r w:rsidR="00F62FEB">
        <w:t xml:space="preserve">If </w:t>
      </w:r>
      <w:r w:rsidR="008A6C4B">
        <w:t>an</w:t>
      </w:r>
      <w:r w:rsidR="00DE4F23">
        <w:t xml:space="preserve"> ANOVA result was </w:t>
      </w:r>
      <w:r w:rsidR="00F62FEB">
        <w:t>significan</w:t>
      </w:r>
      <w:r w:rsidR="00DE4F23">
        <w:t>t</w:t>
      </w:r>
      <w:r w:rsidR="00F62FEB">
        <w:t xml:space="preserve">, a </w:t>
      </w:r>
      <w:r w:rsidR="00DE4F23">
        <w:t>Tukey</w:t>
      </w:r>
      <w:r w:rsidR="00F62FEB">
        <w:t xml:space="preserve"> test</w:t>
      </w:r>
      <w:r w:rsidR="00DE4F23">
        <w:t xml:space="preserve"> was performed to obtain more details about the significan</w:t>
      </w:r>
      <w:r w:rsidR="000878E1">
        <w:t>t ANOVA result</w:t>
      </w:r>
      <w:r w:rsidR="00DE4F23">
        <w:t>. An alpha level of 0.05 was used to evaluate</w:t>
      </w:r>
      <w:r w:rsidR="0080534F">
        <w:t xml:space="preserve"> </w:t>
      </w:r>
      <w:r w:rsidR="00826EED">
        <w:t>ANOVA and Tukey</w:t>
      </w:r>
      <w:r w:rsidR="00DE4F23">
        <w:t xml:space="preserve"> results.</w:t>
      </w:r>
    </w:p>
    <w:p w14:paraId="3B2D9C1F" w14:textId="77777777" w:rsidR="00284C98" w:rsidRDefault="00284C98" w:rsidP="000F49AD">
      <w:pPr>
        <w:pStyle w:val="NoSpacing"/>
        <w:spacing w:line="480" w:lineRule="auto"/>
      </w:pPr>
    </w:p>
    <w:p w14:paraId="336093D3" w14:textId="0174E7CE" w:rsidR="0093541A" w:rsidRPr="00CF0D31" w:rsidRDefault="0093541A" w:rsidP="007E2C0F">
      <w:pPr>
        <w:pStyle w:val="NoSpacing"/>
        <w:spacing w:line="480" w:lineRule="auto"/>
        <w:rPr>
          <w:b/>
          <w:bCs/>
          <w:sz w:val="24"/>
          <w:szCs w:val="24"/>
          <w:u w:val="single"/>
        </w:rPr>
      </w:pPr>
      <w:r w:rsidRPr="00CF0D31">
        <w:rPr>
          <w:b/>
          <w:bCs/>
          <w:sz w:val="24"/>
          <w:szCs w:val="24"/>
          <w:u w:val="single"/>
        </w:rPr>
        <w:t>Conclusion</w:t>
      </w:r>
    </w:p>
    <w:p w14:paraId="1E2B7978" w14:textId="62AE8845" w:rsidR="008A6C4B" w:rsidRDefault="0040729A" w:rsidP="008A6C4B">
      <w:pPr>
        <w:pStyle w:val="NoSpacing"/>
        <w:spacing w:line="480" w:lineRule="auto"/>
        <w:ind w:firstLine="720"/>
      </w:pPr>
      <w:r>
        <w:t xml:space="preserve">The </w:t>
      </w:r>
      <w:r w:rsidRPr="00033F35">
        <w:t>One-Way Repeated Measures ANOVA</w:t>
      </w:r>
      <w:r>
        <w:t xml:space="preserve"> </w:t>
      </w:r>
      <w:r w:rsidR="0093541A">
        <w:t xml:space="preserve">results </w:t>
      </w:r>
      <w:r>
        <w:t xml:space="preserve">are </w:t>
      </w:r>
      <w:r w:rsidR="000871A9">
        <w:t>shown</w:t>
      </w:r>
      <w:r>
        <w:t xml:space="preserve"> in </w:t>
      </w:r>
      <w:r w:rsidR="008A6C4B">
        <w:t>Table 1</w:t>
      </w:r>
      <w:r>
        <w:t>.</w:t>
      </w:r>
      <w:r w:rsidR="008A6C4B">
        <w:t xml:space="preserve"> </w:t>
      </w:r>
      <w:r>
        <w:t xml:space="preserve">Since the p-value of Recyclables </w:t>
      </w:r>
      <w:r w:rsidR="00F82815">
        <w:t>is</w:t>
      </w:r>
      <w:r>
        <w:t xml:space="preserve"> significant, the null hypothes</w:t>
      </w:r>
      <w:r w:rsidR="00C14FE3">
        <w:t>i</w:t>
      </w:r>
      <w:r>
        <w:t xml:space="preserve">s is rejected. </w:t>
      </w:r>
      <w:r w:rsidR="00284C98">
        <w:t>T</w:t>
      </w:r>
      <w:r>
        <w:t xml:space="preserve">here is sufficient evidence that the </w:t>
      </w:r>
      <w:r w:rsidR="00C14FE3">
        <w:t>amount of</w:t>
      </w:r>
      <w:r w:rsidR="008A6C4B">
        <w:t xml:space="preserve"> collected </w:t>
      </w:r>
      <w:r w:rsidR="00C14FE3">
        <w:t xml:space="preserve">recyclables </w:t>
      </w:r>
      <w:r w:rsidR="00F82815">
        <w:t>is</w:t>
      </w:r>
      <w:r w:rsidR="00C14FE3">
        <w:t xml:space="preserve"> signi</w:t>
      </w:r>
      <w:r w:rsidR="003507F7">
        <w:t>fi</w:t>
      </w:r>
      <w:r w:rsidR="00C14FE3">
        <w:t>cantly different between 2009, 2014, and 2019</w:t>
      </w:r>
      <w:r w:rsidR="008A6C4B">
        <w:t xml:space="preserve"> in Minnesota’s metropolitan counties</w:t>
      </w:r>
      <w:r w:rsidR="00C14FE3">
        <w:t xml:space="preserve">. </w:t>
      </w:r>
      <w:r w:rsidR="00F82815">
        <w:t xml:space="preserve">Since the p-value of Organics is significant, the null hypothesis is rejected. </w:t>
      </w:r>
      <w:r w:rsidR="00284C98">
        <w:t>T</w:t>
      </w:r>
      <w:r w:rsidR="00F82815">
        <w:t xml:space="preserve">here is sufficient evidence that the amount of </w:t>
      </w:r>
      <w:r w:rsidR="008A6C4B">
        <w:t xml:space="preserve">collected </w:t>
      </w:r>
      <w:r w:rsidR="00F82815">
        <w:t xml:space="preserve">organics </w:t>
      </w:r>
      <w:r w:rsidR="00FB4134">
        <w:t>is</w:t>
      </w:r>
      <w:r w:rsidR="00F82815">
        <w:t xml:space="preserve"> significantly different between 2009, 2014, and 2019</w:t>
      </w:r>
      <w:r w:rsidR="008A6C4B">
        <w:t xml:space="preserve"> in Minnesota’s metropolitan counties</w:t>
      </w:r>
      <w:r w:rsidR="00F82815">
        <w:t>.</w:t>
      </w:r>
    </w:p>
    <w:p w14:paraId="51C8E582" w14:textId="77777777" w:rsidR="008A6C4B" w:rsidRDefault="008A6C4B" w:rsidP="008805D4">
      <w:pPr>
        <w:pStyle w:val="Caption"/>
        <w:keepNext/>
        <w:jc w:val="center"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8A6C4B" w14:paraId="25476B34" w14:textId="77777777" w:rsidTr="008805D4">
        <w:trPr>
          <w:jc w:val="center"/>
        </w:trPr>
        <w:tc>
          <w:tcPr>
            <w:tcW w:w="7791" w:type="dxa"/>
            <w:gridSpan w:val="5"/>
          </w:tcPr>
          <w:p w14:paraId="23198671" w14:textId="77777777" w:rsidR="008A6C4B" w:rsidRPr="007B23C7" w:rsidRDefault="008A6C4B" w:rsidP="002811C2">
            <w:pPr>
              <w:pStyle w:val="NoSpacing"/>
              <w:spacing w:line="480" w:lineRule="auto"/>
              <w:jc w:val="center"/>
              <w:rPr>
                <w:b/>
                <w:bCs/>
              </w:rPr>
            </w:pPr>
            <w:r w:rsidRPr="007B23C7">
              <w:rPr>
                <w:b/>
                <w:bCs/>
              </w:rPr>
              <w:t>One-Way Repeated Measures ANOVA Results</w:t>
            </w:r>
          </w:p>
        </w:tc>
      </w:tr>
      <w:tr w:rsidR="008A6C4B" w14:paraId="74FEDD46" w14:textId="77777777" w:rsidTr="008805D4">
        <w:trPr>
          <w:jc w:val="center"/>
        </w:trPr>
        <w:tc>
          <w:tcPr>
            <w:tcW w:w="1558" w:type="dxa"/>
          </w:tcPr>
          <w:p w14:paraId="3FE86EAD" w14:textId="77777777" w:rsidR="008A6C4B" w:rsidRDefault="008A6C4B" w:rsidP="002811C2">
            <w:pPr>
              <w:pStyle w:val="NoSpacing"/>
              <w:spacing w:line="480" w:lineRule="auto"/>
              <w:jc w:val="center"/>
            </w:pPr>
          </w:p>
        </w:tc>
        <w:tc>
          <w:tcPr>
            <w:tcW w:w="3116" w:type="dxa"/>
            <w:gridSpan w:val="2"/>
          </w:tcPr>
          <w:p w14:paraId="52EAB2F2" w14:textId="4E07228A" w:rsidR="008A6C4B" w:rsidRDefault="008A6C4B" w:rsidP="002811C2">
            <w:pPr>
              <w:pStyle w:val="NoSpacing"/>
              <w:spacing w:line="480" w:lineRule="auto"/>
              <w:jc w:val="center"/>
            </w:pPr>
            <w:r>
              <w:t>Recyclables</w:t>
            </w:r>
            <w:r w:rsidR="000871A9">
              <w:t xml:space="preserve"> (tons)</w:t>
            </w:r>
          </w:p>
        </w:tc>
        <w:tc>
          <w:tcPr>
            <w:tcW w:w="3117" w:type="dxa"/>
            <w:gridSpan w:val="2"/>
          </w:tcPr>
          <w:p w14:paraId="10DFCE6D" w14:textId="0474E540" w:rsidR="008A6C4B" w:rsidRDefault="008A6C4B" w:rsidP="002811C2">
            <w:pPr>
              <w:pStyle w:val="NoSpacing"/>
              <w:spacing w:line="480" w:lineRule="auto"/>
              <w:jc w:val="center"/>
            </w:pPr>
            <w:r>
              <w:t>Organics</w:t>
            </w:r>
            <w:r w:rsidR="000871A9">
              <w:t xml:space="preserve"> (tons)</w:t>
            </w:r>
          </w:p>
        </w:tc>
      </w:tr>
      <w:tr w:rsidR="008A6C4B" w14:paraId="3D713C56" w14:textId="77777777" w:rsidTr="008805D4">
        <w:trPr>
          <w:jc w:val="center"/>
        </w:trPr>
        <w:tc>
          <w:tcPr>
            <w:tcW w:w="1558" w:type="dxa"/>
          </w:tcPr>
          <w:p w14:paraId="707BB0AD" w14:textId="77777777" w:rsidR="008A6C4B" w:rsidRDefault="008A6C4B" w:rsidP="002811C2">
            <w:pPr>
              <w:pStyle w:val="NoSpacing"/>
              <w:spacing w:line="480" w:lineRule="auto"/>
              <w:jc w:val="center"/>
            </w:pPr>
          </w:p>
        </w:tc>
        <w:tc>
          <w:tcPr>
            <w:tcW w:w="1558" w:type="dxa"/>
          </w:tcPr>
          <w:p w14:paraId="5435CC91" w14:textId="77777777" w:rsidR="008A6C4B" w:rsidRDefault="008A6C4B" w:rsidP="002811C2">
            <w:pPr>
              <w:pStyle w:val="NoSpacing"/>
              <w:spacing w:line="480" w:lineRule="auto"/>
              <w:jc w:val="center"/>
            </w:pPr>
            <w:r>
              <w:t>F-value</w:t>
            </w:r>
          </w:p>
        </w:tc>
        <w:tc>
          <w:tcPr>
            <w:tcW w:w="1558" w:type="dxa"/>
          </w:tcPr>
          <w:p w14:paraId="2EF5A9EC" w14:textId="77777777" w:rsidR="008A6C4B" w:rsidRDefault="008A6C4B" w:rsidP="002811C2">
            <w:pPr>
              <w:pStyle w:val="NoSpacing"/>
              <w:spacing w:line="480" w:lineRule="auto"/>
              <w:jc w:val="center"/>
            </w:pPr>
            <w:r>
              <w:t>p-value</w:t>
            </w:r>
          </w:p>
        </w:tc>
        <w:tc>
          <w:tcPr>
            <w:tcW w:w="1558" w:type="dxa"/>
          </w:tcPr>
          <w:p w14:paraId="21849502" w14:textId="77777777" w:rsidR="008A6C4B" w:rsidRDefault="008A6C4B" w:rsidP="002811C2">
            <w:pPr>
              <w:pStyle w:val="NoSpacing"/>
              <w:spacing w:line="480" w:lineRule="auto"/>
              <w:jc w:val="center"/>
            </w:pPr>
            <w:r>
              <w:t>F-value</w:t>
            </w:r>
          </w:p>
        </w:tc>
        <w:tc>
          <w:tcPr>
            <w:tcW w:w="1559" w:type="dxa"/>
          </w:tcPr>
          <w:p w14:paraId="76553222" w14:textId="77777777" w:rsidR="008A6C4B" w:rsidRDefault="008A6C4B" w:rsidP="002811C2">
            <w:pPr>
              <w:pStyle w:val="NoSpacing"/>
              <w:spacing w:line="480" w:lineRule="auto"/>
              <w:jc w:val="center"/>
            </w:pPr>
            <w:r>
              <w:t>p-value</w:t>
            </w:r>
          </w:p>
        </w:tc>
      </w:tr>
      <w:tr w:rsidR="008A6C4B" w14:paraId="06019B4C" w14:textId="77777777" w:rsidTr="008805D4">
        <w:trPr>
          <w:jc w:val="center"/>
        </w:trPr>
        <w:tc>
          <w:tcPr>
            <w:tcW w:w="1558" w:type="dxa"/>
          </w:tcPr>
          <w:p w14:paraId="3C247DFE" w14:textId="77777777" w:rsidR="008A6C4B" w:rsidRDefault="008A6C4B" w:rsidP="002811C2">
            <w:pPr>
              <w:pStyle w:val="NoSpacing"/>
              <w:spacing w:line="480" w:lineRule="auto"/>
              <w:jc w:val="center"/>
            </w:pPr>
            <w:r>
              <w:t>Year</w:t>
            </w:r>
          </w:p>
        </w:tc>
        <w:tc>
          <w:tcPr>
            <w:tcW w:w="1558" w:type="dxa"/>
          </w:tcPr>
          <w:p w14:paraId="5F024F70" w14:textId="77777777" w:rsidR="008A6C4B" w:rsidRDefault="008A6C4B" w:rsidP="002811C2">
            <w:pPr>
              <w:pStyle w:val="NoSpacing"/>
              <w:spacing w:line="480" w:lineRule="auto"/>
              <w:jc w:val="center"/>
            </w:pPr>
            <w:r w:rsidRPr="00E25AF6">
              <w:t>4.198398</w:t>
            </w:r>
          </w:p>
        </w:tc>
        <w:tc>
          <w:tcPr>
            <w:tcW w:w="1558" w:type="dxa"/>
          </w:tcPr>
          <w:p w14:paraId="76AE778A" w14:textId="77777777" w:rsidR="008A6C4B" w:rsidRPr="00DC6503" w:rsidRDefault="008A6C4B" w:rsidP="002811C2">
            <w:pPr>
              <w:pStyle w:val="NoSpacing"/>
              <w:spacing w:line="480" w:lineRule="auto"/>
              <w:jc w:val="center"/>
              <w:rPr>
                <w:b/>
                <w:bCs/>
              </w:rPr>
            </w:pPr>
            <w:r w:rsidRPr="00DC6503">
              <w:rPr>
                <w:b/>
                <w:bCs/>
              </w:rPr>
              <w:t>0.0415</w:t>
            </w:r>
          </w:p>
        </w:tc>
        <w:tc>
          <w:tcPr>
            <w:tcW w:w="1558" w:type="dxa"/>
          </w:tcPr>
          <w:p w14:paraId="1E2CF301" w14:textId="77777777" w:rsidR="008A6C4B" w:rsidRDefault="008A6C4B" w:rsidP="002811C2">
            <w:pPr>
              <w:pStyle w:val="NoSpacing"/>
              <w:spacing w:line="480" w:lineRule="auto"/>
              <w:jc w:val="center"/>
            </w:pPr>
            <w:r w:rsidRPr="00E25AF6">
              <w:t>12.23528</w:t>
            </w:r>
          </w:p>
        </w:tc>
        <w:tc>
          <w:tcPr>
            <w:tcW w:w="1559" w:type="dxa"/>
          </w:tcPr>
          <w:p w14:paraId="3D73293B" w14:textId="77777777" w:rsidR="008A6C4B" w:rsidRPr="00DC6503" w:rsidRDefault="008A6C4B" w:rsidP="002811C2">
            <w:pPr>
              <w:pStyle w:val="NoSpacing"/>
              <w:spacing w:line="480" w:lineRule="auto"/>
              <w:jc w:val="center"/>
              <w:rPr>
                <w:b/>
                <w:bCs/>
              </w:rPr>
            </w:pPr>
            <w:r w:rsidRPr="00DC6503">
              <w:rPr>
                <w:b/>
                <w:bCs/>
              </w:rPr>
              <w:t>0.0013</w:t>
            </w:r>
          </w:p>
        </w:tc>
      </w:tr>
    </w:tbl>
    <w:p w14:paraId="13021413" w14:textId="77777777" w:rsidR="008A6C4B" w:rsidRDefault="008A6C4B" w:rsidP="007E2C0F">
      <w:pPr>
        <w:pStyle w:val="NoSpacing"/>
        <w:spacing w:line="480" w:lineRule="auto"/>
      </w:pPr>
    </w:p>
    <w:p w14:paraId="2535F241" w14:textId="77777777" w:rsidR="00EA419E" w:rsidRDefault="000871A9" w:rsidP="00BE70AD">
      <w:pPr>
        <w:pStyle w:val="NoSpacing"/>
        <w:spacing w:line="480" w:lineRule="auto"/>
        <w:ind w:firstLine="720"/>
      </w:pPr>
      <w:r>
        <w:t>Since both ANOVA results are significant</w:t>
      </w:r>
      <w:r w:rsidR="00C14FE3">
        <w:t xml:space="preserve">, </w:t>
      </w:r>
      <w:r w:rsidR="0040729A">
        <w:t xml:space="preserve">two Tukey tests are performed (one for </w:t>
      </w:r>
      <w:r>
        <w:t>Recyclables</w:t>
      </w:r>
      <w:r w:rsidR="0040729A">
        <w:t xml:space="preserve"> and one for Organics)</w:t>
      </w:r>
      <w:r w:rsidR="003507F7">
        <w:t xml:space="preserve"> to determine which specific year ranges are significant. T</w:t>
      </w:r>
      <w:r w:rsidR="00C14FE3">
        <w:t xml:space="preserve">he </w:t>
      </w:r>
      <w:r>
        <w:t xml:space="preserve">Tukey </w:t>
      </w:r>
      <w:r w:rsidR="00C14FE3">
        <w:t xml:space="preserve">results are </w:t>
      </w:r>
      <w:r>
        <w:t>displayed in Table 2</w:t>
      </w:r>
      <w:r w:rsidR="00C14FE3">
        <w:t>.</w:t>
      </w:r>
      <w:r w:rsidRPr="000871A9">
        <w:t xml:space="preserve"> </w:t>
      </w:r>
      <w:r>
        <w:t xml:space="preserve">For </w:t>
      </w:r>
      <w:r w:rsidR="007C31C1">
        <w:t xml:space="preserve">Recyclables, there is a significant difference between </w:t>
      </w:r>
      <w:r>
        <w:t>2009</w:t>
      </w:r>
      <w:r w:rsidR="00FC68F7">
        <w:t>-</w:t>
      </w:r>
      <w:r>
        <w:t>201</w:t>
      </w:r>
      <w:r w:rsidR="007C31C1">
        <w:t>9. For Organics, there are significant differences between 2014</w:t>
      </w:r>
      <w:r w:rsidR="00FC68F7">
        <w:t>-</w:t>
      </w:r>
      <w:r w:rsidR="007C31C1">
        <w:t>2019</w:t>
      </w:r>
      <w:r w:rsidR="00FC68F7">
        <w:t xml:space="preserve"> and between </w:t>
      </w:r>
    </w:p>
    <w:p w14:paraId="1F20E45E" w14:textId="1D140CA6" w:rsidR="000871A9" w:rsidRDefault="00FC68F7" w:rsidP="00EA419E">
      <w:pPr>
        <w:pStyle w:val="NoSpacing"/>
        <w:spacing w:line="480" w:lineRule="auto"/>
      </w:pPr>
      <w:r>
        <w:t>2009-2019</w:t>
      </w:r>
      <w:r w:rsidR="007C31C1">
        <w:t>.</w:t>
      </w:r>
    </w:p>
    <w:p w14:paraId="37F12399" w14:textId="51C7ED19" w:rsidR="008A6C4B" w:rsidRDefault="008A6C4B" w:rsidP="008805D4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4"/>
        <w:gridCol w:w="1616"/>
        <w:gridCol w:w="1322"/>
        <w:gridCol w:w="1200"/>
        <w:gridCol w:w="1322"/>
        <w:gridCol w:w="1200"/>
      </w:tblGrid>
      <w:tr w:rsidR="007B23C7" w14:paraId="249650F3" w14:textId="77777777" w:rsidTr="008805D4">
        <w:trPr>
          <w:jc w:val="center"/>
        </w:trPr>
        <w:tc>
          <w:tcPr>
            <w:tcW w:w="7734" w:type="dxa"/>
            <w:gridSpan w:val="6"/>
          </w:tcPr>
          <w:p w14:paraId="46DCEDA9" w14:textId="03DCE7FB" w:rsidR="007B23C7" w:rsidRPr="007B23C7" w:rsidRDefault="007B23C7" w:rsidP="00E554B9">
            <w:pPr>
              <w:pStyle w:val="NoSpacing"/>
              <w:spacing w:line="480" w:lineRule="auto"/>
              <w:jc w:val="center"/>
              <w:rPr>
                <w:b/>
                <w:bCs/>
              </w:rPr>
            </w:pPr>
            <w:r w:rsidRPr="007B23C7">
              <w:rPr>
                <w:b/>
                <w:bCs/>
              </w:rPr>
              <w:t>Tukey Results</w:t>
            </w:r>
          </w:p>
        </w:tc>
      </w:tr>
      <w:tr w:rsidR="00C14FE3" w14:paraId="537BB524" w14:textId="77777777" w:rsidTr="008805D4">
        <w:trPr>
          <w:jc w:val="center"/>
        </w:trPr>
        <w:tc>
          <w:tcPr>
            <w:tcW w:w="1074" w:type="dxa"/>
          </w:tcPr>
          <w:p w14:paraId="669B6546" w14:textId="77777777" w:rsidR="00C14FE3" w:rsidRDefault="00C14FE3" w:rsidP="00E554B9">
            <w:pPr>
              <w:pStyle w:val="NoSpacing"/>
              <w:spacing w:line="480" w:lineRule="auto"/>
              <w:jc w:val="center"/>
            </w:pPr>
          </w:p>
        </w:tc>
        <w:tc>
          <w:tcPr>
            <w:tcW w:w="1616" w:type="dxa"/>
          </w:tcPr>
          <w:p w14:paraId="27B8922E" w14:textId="77777777" w:rsidR="00C14FE3" w:rsidRDefault="00C14FE3" w:rsidP="00E554B9">
            <w:pPr>
              <w:pStyle w:val="NoSpacing"/>
              <w:spacing w:line="480" w:lineRule="auto"/>
              <w:jc w:val="center"/>
            </w:pPr>
          </w:p>
        </w:tc>
        <w:tc>
          <w:tcPr>
            <w:tcW w:w="2522" w:type="dxa"/>
            <w:gridSpan w:val="2"/>
          </w:tcPr>
          <w:p w14:paraId="728908F1" w14:textId="3E2EE29E" w:rsidR="00C14FE3" w:rsidRDefault="00C14FE3" w:rsidP="00E554B9">
            <w:pPr>
              <w:pStyle w:val="NoSpacing"/>
              <w:spacing w:line="480" w:lineRule="auto"/>
              <w:jc w:val="center"/>
            </w:pPr>
            <w:r>
              <w:t>Recyclables (tons)</w:t>
            </w:r>
          </w:p>
        </w:tc>
        <w:tc>
          <w:tcPr>
            <w:tcW w:w="2522" w:type="dxa"/>
            <w:gridSpan w:val="2"/>
          </w:tcPr>
          <w:p w14:paraId="0E28EF94" w14:textId="77777777" w:rsidR="00C14FE3" w:rsidRDefault="00C14FE3" w:rsidP="00E554B9">
            <w:pPr>
              <w:pStyle w:val="NoSpacing"/>
              <w:spacing w:line="480" w:lineRule="auto"/>
              <w:jc w:val="center"/>
            </w:pPr>
            <w:r>
              <w:t>Organics (tons)</w:t>
            </w:r>
          </w:p>
        </w:tc>
      </w:tr>
      <w:tr w:rsidR="00C14FE3" w14:paraId="26890428" w14:textId="77777777" w:rsidTr="008805D4">
        <w:trPr>
          <w:jc w:val="center"/>
        </w:trPr>
        <w:tc>
          <w:tcPr>
            <w:tcW w:w="1074" w:type="dxa"/>
          </w:tcPr>
          <w:p w14:paraId="4BE0FEA5" w14:textId="77777777" w:rsidR="00C14FE3" w:rsidRDefault="00C14FE3" w:rsidP="00E554B9">
            <w:pPr>
              <w:pStyle w:val="NoSpacing"/>
              <w:spacing w:line="480" w:lineRule="auto"/>
              <w:jc w:val="center"/>
            </w:pPr>
          </w:p>
        </w:tc>
        <w:tc>
          <w:tcPr>
            <w:tcW w:w="1616" w:type="dxa"/>
          </w:tcPr>
          <w:p w14:paraId="051C110A" w14:textId="77777777" w:rsidR="00C14FE3" w:rsidRDefault="00C14FE3" w:rsidP="00E554B9">
            <w:pPr>
              <w:pStyle w:val="NoSpacing"/>
              <w:spacing w:line="480" w:lineRule="auto"/>
              <w:jc w:val="center"/>
            </w:pPr>
          </w:p>
        </w:tc>
        <w:tc>
          <w:tcPr>
            <w:tcW w:w="1322" w:type="dxa"/>
          </w:tcPr>
          <w:p w14:paraId="1195CE3F" w14:textId="5189FEAB" w:rsidR="00C14FE3" w:rsidRDefault="00C14FE3" w:rsidP="00E554B9">
            <w:pPr>
              <w:pStyle w:val="NoSpacing"/>
              <w:spacing w:line="480" w:lineRule="auto"/>
              <w:jc w:val="center"/>
            </w:pPr>
            <w:r>
              <w:t>z-value</w:t>
            </w:r>
          </w:p>
        </w:tc>
        <w:tc>
          <w:tcPr>
            <w:tcW w:w="1200" w:type="dxa"/>
          </w:tcPr>
          <w:p w14:paraId="3B15F33F" w14:textId="77777777" w:rsidR="00C14FE3" w:rsidRDefault="00C14FE3" w:rsidP="00E554B9">
            <w:pPr>
              <w:pStyle w:val="NoSpacing"/>
              <w:spacing w:line="480" w:lineRule="auto"/>
              <w:jc w:val="center"/>
            </w:pPr>
            <w:r>
              <w:t>p-value</w:t>
            </w:r>
          </w:p>
        </w:tc>
        <w:tc>
          <w:tcPr>
            <w:tcW w:w="1322" w:type="dxa"/>
          </w:tcPr>
          <w:p w14:paraId="54217FBE" w14:textId="17A0DF4A" w:rsidR="00C14FE3" w:rsidRDefault="00C14FE3" w:rsidP="00E554B9">
            <w:pPr>
              <w:pStyle w:val="NoSpacing"/>
              <w:spacing w:line="480" w:lineRule="auto"/>
              <w:jc w:val="center"/>
            </w:pPr>
            <w:r>
              <w:t>z-value</w:t>
            </w:r>
          </w:p>
        </w:tc>
        <w:tc>
          <w:tcPr>
            <w:tcW w:w="1200" w:type="dxa"/>
          </w:tcPr>
          <w:p w14:paraId="242E7D48" w14:textId="77777777" w:rsidR="00C14FE3" w:rsidRDefault="00C14FE3" w:rsidP="00E554B9">
            <w:pPr>
              <w:pStyle w:val="NoSpacing"/>
              <w:spacing w:line="480" w:lineRule="auto"/>
              <w:jc w:val="center"/>
            </w:pPr>
            <w:r>
              <w:t>p-value</w:t>
            </w:r>
          </w:p>
        </w:tc>
      </w:tr>
      <w:tr w:rsidR="00C14FE3" w14:paraId="05FB3B21" w14:textId="77777777" w:rsidTr="008805D4">
        <w:trPr>
          <w:jc w:val="center"/>
        </w:trPr>
        <w:tc>
          <w:tcPr>
            <w:tcW w:w="1074" w:type="dxa"/>
            <w:vMerge w:val="restart"/>
          </w:tcPr>
          <w:p w14:paraId="2DF1B382" w14:textId="77777777" w:rsidR="00C14FE3" w:rsidRDefault="00C14FE3" w:rsidP="00C14FE3">
            <w:pPr>
              <w:pStyle w:val="NoSpacing"/>
              <w:spacing w:line="480" w:lineRule="auto"/>
              <w:jc w:val="center"/>
            </w:pPr>
          </w:p>
          <w:p w14:paraId="71713391" w14:textId="40B2FF1C" w:rsidR="00C14FE3" w:rsidRDefault="00C14FE3" w:rsidP="00C14FE3">
            <w:pPr>
              <w:pStyle w:val="NoSpacing"/>
              <w:spacing w:line="480" w:lineRule="auto"/>
              <w:jc w:val="center"/>
            </w:pPr>
            <w:r>
              <w:t>Years</w:t>
            </w:r>
          </w:p>
        </w:tc>
        <w:tc>
          <w:tcPr>
            <w:tcW w:w="1616" w:type="dxa"/>
          </w:tcPr>
          <w:p w14:paraId="4D427828" w14:textId="54B9614B" w:rsidR="00C14FE3" w:rsidRPr="0040729A" w:rsidRDefault="00C14FE3" w:rsidP="00E554B9">
            <w:pPr>
              <w:pStyle w:val="NoSpacing"/>
              <w:spacing w:line="480" w:lineRule="auto"/>
              <w:jc w:val="center"/>
            </w:pPr>
            <w:r>
              <w:t>2009</w:t>
            </w:r>
            <w:r w:rsidR="00FC68F7">
              <w:t>-</w:t>
            </w:r>
            <w:r>
              <w:t>2014</w:t>
            </w:r>
          </w:p>
        </w:tc>
        <w:tc>
          <w:tcPr>
            <w:tcW w:w="1322" w:type="dxa"/>
          </w:tcPr>
          <w:p w14:paraId="1ED434FE" w14:textId="6E222A8A" w:rsidR="00C14FE3" w:rsidRDefault="00E25AF6" w:rsidP="00E25AF6">
            <w:pPr>
              <w:pStyle w:val="NoSpacing"/>
              <w:spacing w:line="480" w:lineRule="auto"/>
              <w:jc w:val="center"/>
            </w:pPr>
            <w:r w:rsidRPr="00E25AF6">
              <w:t>1.271</w:t>
            </w:r>
          </w:p>
        </w:tc>
        <w:tc>
          <w:tcPr>
            <w:tcW w:w="1200" w:type="dxa"/>
          </w:tcPr>
          <w:p w14:paraId="4E01BCBB" w14:textId="6CC49970" w:rsidR="00C14FE3" w:rsidRDefault="00E25AF6" w:rsidP="00E25AF6">
            <w:pPr>
              <w:pStyle w:val="NoSpacing"/>
              <w:spacing w:line="480" w:lineRule="auto"/>
              <w:jc w:val="center"/>
            </w:pPr>
            <w:r w:rsidRPr="00E25AF6">
              <w:t>0.4115</w:t>
            </w:r>
          </w:p>
        </w:tc>
        <w:tc>
          <w:tcPr>
            <w:tcW w:w="1322" w:type="dxa"/>
          </w:tcPr>
          <w:p w14:paraId="33B21E36" w14:textId="0E42EC82" w:rsidR="00C14FE3" w:rsidRDefault="00E25AF6" w:rsidP="00E25AF6">
            <w:pPr>
              <w:pStyle w:val="NoSpacing"/>
              <w:spacing w:line="480" w:lineRule="auto"/>
              <w:jc w:val="center"/>
            </w:pPr>
            <w:r w:rsidRPr="00E25AF6">
              <w:t>2.028</w:t>
            </w:r>
          </w:p>
        </w:tc>
        <w:tc>
          <w:tcPr>
            <w:tcW w:w="1200" w:type="dxa"/>
          </w:tcPr>
          <w:p w14:paraId="533DD402" w14:textId="4184EEE0" w:rsidR="00C14FE3" w:rsidRDefault="00E25AF6" w:rsidP="00E25AF6">
            <w:pPr>
              <w:pStyle w:val="NoSpacing"/>
              <w:spacing w:line="480" w:lineRule="auto"/>
              <w:jc w:val="center"/>
            </w:pPr>
            <w:r w:rsidRPr="00E25AF6">
              <w:t>0.1055</w:t>
            </w:r>
          </w:p>
        </w:tc>
      </w:tr>
      <w:tr w:rsidR="00FC68F7" w14:paraId="3F80E4EB" w14:textId="77777777" w:rsidTr="008805D4">
        <w:trPr>
          <w:jc w:val="center"/>
        </w:trPr>
        <w:tc>
          <w:tcPr>
            <w:tcW w:w="1074" w:type="dxa"/>
            <w:vMerge/>
          </w:tcPr>
          <w:p w14:paraId="4ADD997C" w14:textId="77777777" w:rsidR="00FC68F7" w:rsidRDefault="00FC68F7" w:rsidP="00FC68F7">
            <w:pPr>
              <w:pStyle w:val="NoSpacing"/>
              <w:spacing w:line="480" w:lineRule="auto"/>
              <w:jc w:val="center"/>
            </w:pPr>
          </w:p>
        </w:tc>
        <w:tc>
          <w:tcPr>
            <w:tcW w:w="1616" w:type="dxa"/>
          </w:tcPr>
          <w:p w14:paraId="32560815" w14:textId="14BCCBE8" w:rsidR="00FC68F7" w:rsidRDefault="00FC68F7" w:rsidP="00FC68F7">
            <w:pPr>
              <w:pStyle w:val="NoSpacing"/>
              <w:spacing w:line="480" w:lineRule="auto"/>
              <w:jc w:val="center"/>
            </w:pPr>
            <w:r>
              <w:t>2014-2019</w:t>
            </w:r>
          </w:p>
        </w:tc>
        <w:tc>
          <w:tcPr>
            <w:tcW w:w="1322" w:type="dxa"/>
          </w:tcPr>
          <w:p w14:paraId="2980E5E5" w14:textId="2A185EDD" w:rsidR="00FC68F7" w:rsidRPr="0040729A" w:rsidRDefault="00FC68F7" w:rsidP="00FC68F7">
            <w:pPr>
              <w:pStyle w:val="NoSpacing"/>
              <w:spacing w:line="480" w:lineRule="auto"/>
              <w:jc w:val="center"/>
            </w:pPr>
            <w:r w:rsidRPr="00E25AF6">
              <w:t>1.619</w:t>
            </w:r>
          </w:p>
        </w:tc>
        <w:tc>
          <w:tcPr>
            <w:tcW w:w="1200" w:type="dxa"/>
          </w:tcPr>
          <w:p w14:paraId="51005AFB" w14:textId="03FC14D6" w:rsidR="00FC68F7" w:rsidRPr="003507F7" w:rsidRDefault="00FC68F7" w:rsidP="00FC68F7">
            <w:pPr>
              <w:pStyle w:val="NoSpacing"/>
              <w:spacing w:line="480" w:lineRule="auto"/>
              <w:jc w:val="center"/>
              <w:rPr>
                <w:b/>
                <w:bCs/>
              </w:rPr>
            </w:pPr>
            <w:r w:rsidRPr="00E25AF6">
              <w:t>0.2374</w:t>
            </w:r>
          </w:p>
        </w:tc>
        <w:tc>
          <w:tcPr>
            <w:tcW w:w="1322" w:type="dxa"/>
          </w:tcPr>
          <w:p w14:paraId="15AF3264" w14:textId="78B81355" w:rsidR="00FC68F7" w:rsidRPr="0040729A" w:rsidRDefault="00FC68F7" w:rsidP="00FC68F7">
            <w:pPr>
              <w:pStyle w:val="NoSpacing"/>
              <w:spacing w:line="480" w:lineRule="auto"/>
              <w:jc w:val="center"/>
            </w:pPr>
            <w:r w:rsidRPr="00E25AF6">
              <w:t>2.894</w:t>
            </w:r>
          </w:p>
        </w:tc>
        <w:tc>
          <w:tcPr>
            <w:tcW w:w="1200" w:type="dxa"/>
          </w:tcPr>
          <w:p w14:paraId="7D2CECAF" w14:textId="390FE2C8" w:rsidR="00FC68F7" w:rsidRPr="007E67DC" w:rsidRDefault="00FC68F7" w:rsidP="00FC68F7">
            <w:pPr>
              <w:pStyle w:val="NoSpacing"/>
              <w:spacing w:line="480" w:lineRule="auto"/>
              <w:jc w:val="center"/>
              <w:rPr>
                <w:b/>
                <w:bCs/>
              </w:rPr>
            </w:pPr>
            <w:r w:rsidRPr="00E25AF6">
              <w:rPr>
                <w:b/>
                <w:bCs/>
              </w:rPr>
              <w:t>0.010</w:t>
            </w:r>
            <w:r w:rsidR="00060598">
              <w:rPr>
                <w:b/>
                <w:bCs/>
              </w:rPr>
              <w:t>7</w:t>
            </w:r>
          </w:p>
        </w:tc>
      </w:tr>
      <w:tr w:rsidR="00FC68F7" w14:paraId="5A6869F8" w14:textId="77777777" w:rsidTr="008805D4">
        <w:trPr>
          <w:jc w:val="center"/>
        </w:trPr>
        <w:tc>
          <w:tcPr>
            <w:tcW w:w="1074" w:type="dxa"/>
            <w:vMerge/>
          </w:tcPr>
          <w:p w14:paraId="1B3F4458" w14:textId="77777777" w:rsidR="00FC68F7" w:rsidRDefault="00FC68F7" w:rsidP="00FC68F7">
            <w:pPr>
              <w:pStyle w:val="NoSpacing"/>
              <w:spacing w:line="480" w:lineRule="auto"/>
              <w:jc w:val="center"/>
            </w:pPr>
          </w:p>
        </w:tc>
        <w:tc>
          <w:tcPr>
            <w:tcW w:w="1616" w:type="dxa"/>
          </w:tcPr>
          <w:p w14:paraId="652D9FE9" w14:textId="098A1194" w:rsidR="00FC68F7" w:rsidRDefault="00FC68F7" w:rsidP="00FC68F7">
            <w:pPr>
              <w:pStyle w:val="NoSpacing"/>
              <w:spacing w:line="480" w:lineRule="auto"/>
              <w:jc w:val="center"/>
            </w:pPr>
            <w:r>
              <w:t>2009-2019</w:t>
            </w:r>
          </w:p>
        </w:tc>
        <w:tc>
          <w:tcPr>
            <w:tcW w:w="1322" w:type="dxa"/>
          </w:tcPr>
          <w:p w14:paraId="225C9379" w14:textId="6F6254EF" w:rsidR="00FC68F7" w:rsidRPr="0040729A" w:rsidRDefault="00FC68F7" w:rsidP="00FC68F7">
            <w:pPr>
              <w:pStyle w:val="NoSpacing"/>
              <w:spacing w:line="480" w:lineRule="auto"/>
              <w:jc w:val="center"/>
            </w:pPr>
            <w:r w:rsidRPr="00E25AF6">
              <w:t>2.891</w:t>
            </w:r>
          </w:p>
        </w:tc>
        <w:tc>
          <w:tcPr>
            <w:tcW w:w="1200" w:type="dxa"/>
          </w:tcPr>
          <w:p w14:paraId="54925D07" w14:textId="25B3636E" w:rsidR="00FC68F7" w:rsidRPr="0040729A" w:rsidRDefault="00FC68F7" w:rsidP="00FC68F7">
            <w:pPr>
              <w:pStyle w:val="NoSpacing"/>
              <w:spacing w:line="480" w:lineRule="auto"/>
              <w:jc w:val="center"/>
            </w:pPr>
            <w:r w:rsidRPr="00E25AF6">
              <w:rPr>
                <w:b/>
                <w:bCs/>
              </w:rPr>
              <w:t>0.010</w:t>
            </w:r>
            <w:r w:rsidR="00060598">
              <w:rPr>
                <w:b/>
                <w:bCs/>
              </w:rPr>
              <w:t>9</w:t>
            </w:r>
          </w:p>
        </w:tc>
        <w:tc>
          <w:tcPr>
            <w:tcW w:w="1322" w:type="dxa"/>
          </w:tcPr>
          <w:p w14:paraId="0E07A7BE" w14:textId="73CB367E" w:rsidR="00FC68F7" w:rsidRPr="0040729A" w:rsidRDefault="00FC68F7" w:rsidP="00FC68F7">
            <w:pPr>
              <w:pStyle w:val="NoSpacing"/>
              <w:spacing w:line="480" w:lineRule="auto"/>
              <w:jc w:val="center"/>
            </w:pPr>
            <w:r w:rsidRPr="00E25AF6">
              <w:t>4.921</w:t>
            </w:r>
          </w:p>
        </w:tc>
        <w:tc>
          <w:tcPr>
            <w:tcW w:w="1200" w:type="dxa"/>
          </w:tcPr>
          <w:p w14:paraId="56BAE177" w14:textId="55F67ACE" w:rsidR="00FC68F7" w:rsidRPr="003507F7" w:rsidRDefault="00FC68F7" w:rsidP="00FC68F7">
            <w:pPr>
              <w:pStyle w:val="NoSpacing"/>
              <w:spacing w:line="480" w:lineRule="auto"/>
              <w:jc w:val="center"/>
              <w:rPr>
                <w:b/>
                <w:bCs/>
              </w:rPr>
            </w:pPr>
            <w:r w:rsidRPr="00E25AF6">
              <w:rPr>
                <w:b/>
                <w:bCs/>
              </w:rPr>
              <w:t>&lt;</w:t>
            </w:r>
            <w:r>
              <w:rPr>
                <w:b/>
                <w:bCs/>
              </w:rPr>
              <w:t xml:space="preserve"> </w:t>
            </w:r>
            <w:r w:rsidRPr="00E25AF6">
              <w:rPr>
                <w:b/>
                <w:bCs/>
              </w:rPr>
              <w:t>0.001</w:t>
            </w:r>
          </w:p>
        </w:tc>
      </w:tr>
    </w:tbl>
    <w:p w14:paraId="2B7DC797" w14:textId="09055678" w:rsidR="0040729A" w:rsidRDefault="0040729A" w:rsidP="007E2C0F">
      <w:pPr>
        <w:pStyle w:val="NoSpacing"/>
        <w:spacing w:line="480" w:lineRule="auto"/>
      </w:pPr>
    </w:p>
    <w:p w14:paraId="1A1119B6" w14:textId="77777777" w:rsidR="00EA419E" w:rsidRDefault="007B23C7" w:rsidP="00EA419E">
      <w:pPr>
        <w:pStyle w:val="NoSpacing"/>
        <w:spacing w:line="480" w:lineRule="auto"/>
        <w:ind w:firstLine="720"/>
      </w:pPr>
      <w:r>
        <w:t xml:space="preserve">To </w:t>
      </w:r>
      <w:r w:rsidR="007C31C1">
        <w:t>determine if the significant Tukey results</w:t>
      </w:r>
      <w:r>
        <w:t xml:space="preserve"> </w:t>
      </w:r>
      <w:r w:rsidR="00FA6947">
        <w:t>are significant increases</w:t>
      </w:r>
      <w:r w:rsidR="00EA419E">
        <w:t xml:space="preserve"> and not decreases</w:t>
      </w:r>
      <w:r w:rsidR="003A2632">
        <w:t xml:space="preserve">, bar plots of mean recycle tons and mean organic tons </w:t>
      </w:r>
      <w:r w:rsidR="00BE70AD">
        <w:t>are</w:t>
      </w:r>
      <w:r w:rsidR="003A2632">
        <w:t xml:space="preserve"> created</w:t>
      </w:r>
      <w:r w:rsidR="00BE70AD">
        <w:t xml:space="preserve"> (see Figures 1 and 2) and analyzed</w:t>
      </w:r>
      <w:r w:rsidR="003A2632">
        <w:t>.</w:t>
      </w:r>
      <w:r w:rsidR="00BE70AD">
        <w:t xml:space="preserve"> Since both bar plots</w:t>
      </w:r>
      <w:r w:rsidR="00FC68F7">
        <w:t xml:space="preserve"> strictly</w:t>
      </w:r>
      <w:r w:rsidR="00BE70AD">
        <w:t xml:space="preserve"> increase</w:t>
      </w:r>
      <w:r w:rsidR="00B7069E">
        <w:t>d</w:t>
      </w:r>
      <w:r w:rsidR="00BE70AD">
        <w:t xml:space="preserve"> from 2009</w:t>
      </w:r>
      <w:r w:rsidR="00FC68F7">
        <w:t xml:space="preserve"> to 2014 to </w:t>
      </w:r>
      <w:r w:rsidR="00BE70AD">
        <w:t xml:space="preserve">2019, </w:t>
      </w:r>
      <w:r w:rsidR="00FC68F7">
        <w:t>the amount of collected recyclables significantly increase</w:t>
      </w:r>
      <w:r w:rsidR="00B7069E">
        <w:t>d</w:t>
      </w:r>
      <w:r w:rsidR="00FC68F7">
        <w:t xml:space="preserve"> between 2009-2019 in Minnesota’s metropolitan counties, and the amount of collected organics significantly increase</w:t>
      </w:r>
      <w:r w:rsidR="00B7069E">
        <w:t>d</w:t>
      </w:r>
      <w:r w:rsidR="00FC68F7">
        <w:t xml:space="preserve"> between 2014-2019 and between </w:t>
      </w:r>
    </w:p>
    <w:p w14:paraId="45E4250D" w14:textId="3CEAE2F1" w:rsidR="00BE70AD" w:rsidRDefault="00FC68F7" w:rsidP="00EA419E">
      <w:pPr>
        <w:pStyle w:val="NoSpacing"/>
        <w:spacing w:line="480" w:lineRule="auto"/>
      </w:pPr>
      <w:r>
        <w:lastRenderedPageBreak/>
        <w:t>2009-2019 in Minnesota’s metropolitan counties.</w:t>
      </w:r>
    </w:p>
    <w:p w14:paraId="4EBA8483" w14:textId="0BC797A9" w:rsidR="003A2632" w:rsidRDefault="003A2632" w:rsidP="008805D4">
      <w:pPr>
        <w:pStyle w:val="Caption"/>
        <w:keepNext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50C63C27" w14:textId="77777777" w:rsidR="00DC6503" w:rsidRDefault="00DC6503" w:rsidP="008805D4">
      <w:pPr>
        <w:pStyle w:val="NoSpacing"/>
        <w:spacing w:line="480" w:lineRule="auto"/>
        <w:jc w:val="center"/>
      </w:pPr>
      <w:r>
        <w:rPr>
          <w:noProof/>
        </w:rPr>
        <w:drawing>
          <wp:inline distT="0" distB="0" distL="0" distR="0" wp14:anchorId="4D7C55FA" wp14:editId="0455D2B3">
            <wp:extent cx="4818888" cy="2971800"/>
            <wp:effectExtent l="0" t="0" r="1270" b="0"/>
            <wp:docPr id="11225883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888" cy="297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009461" w14:textId="77777777" w:rsidR="003A2632" w:rsidRDefault="003A2632" w:rsidP="007E2C0F">
      <w:pPr>
        <w:pStyle w:val="NoSpacing"/>
        <w:spacing w:line="480" w:lineRule="auto"/>
      </w:pPr>
    </w:p>
    <w:p w14:paraId="6A772A9F" w14:textId="05DE60BC" w:rsidR="003A2632" w:rsidRDefault="003A2632" w:rsidP="008805D4">
      <w:pPr>
        <w:pStyle w:val="Caption"/>
        <w:keepNext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13E6F2F1" w14:textId="25DCE7A7" w:rsidR="00DC6503" w:rsidRDefault="00DC6503" w:rsidP="008805D4">
      <w:pPr>
        <w:pStyle w:val="NoSpacing"/>
        <w:spacing w:line="480" w:lineRule="auto"/>
        <w:jc w:val="center"/>
      </w:pPr>
      <w:r>
        <w:rPr>
          <w:noProof/>
        </w:rPr>
        <w:drawing>
          <wp:inline distT="0" distB="0" distL="0" distR="0" wp14:anchorId="0D030DC4" wp14:editId="6B80BFB8">
            <wp:extent cx="4818888" cy="2971800"/>
            <wp:effectExtent l="0" t="0" r="1270" b="0"/>
            <wp:docPr id="497395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888" cy="297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0FFC21" w14:textId="0EC916A4" w:rsidR="00FD13FB" w:rsidRDefault="00B22775" w:rsidP="00BE70AD">
      <w:pPr>
        <w:pStyle w:val="NoSpacing"/>
        <w:spacing w:line="480" w:lineRule="auto"/>
        <w:ind w:firstLine="720"/>
      </w:pPr>
      <w:r>
        <w:t>A</w:t>
      </w:r>
      <w:r w:rsidR="00BE70AD">
        <w:t xml:space="preserve">n interesting finding was </w:t>
      </w:r>
      <w:r w:rsidR="00991749">
        <w:t xml:space="preserve">that </w:t>
      </w:r>
      <w:r>
        <w:t xml:space="preserve">mean </w:t>
      </w:r>
      <w:r w:rsidR="00BE70AD">
        <w:t xml:space="preserve">recycle tons </w:t>
      </w:r>
      <w:r>
        <w:t xml:space="preserve">experienced linear growth </w:t>
      </w:r>
      <w:r w:rsidR="00991749">
        <w:t xml:space="preserve">from 2009 to 2014 to 2019 but </w:t>
      </w:r>
      <w:r w:rsidR="00BE70AD">
        <w:t xml:space="preserve">mean organic tons </w:t>
      </w:r>
      <w:r>
        <w:t>experienced exponential growth from 2009 to 2014 to 2019</w:t>
      </w:r>
      <w:r w:rsidR="00BE70AD">
        <w:t xml:space="preserve">. A </w:t>
      </w:r>
      <w:r w:rsidR="00BE70AD">
        <w:lastRenderedPageBreak/>
        <w:t xml:space="preserve">likely explanation for the exponential growth of </w:t>
      </w:r>
      <w:r w:rsidR="00914A6C">
        <w:t xml:space="preserve">collected </w:t>
      </w:r>
      <w:r w:rsidR="00BE70AD">
        <w:t xml:space="preserve">organics is that Minnesota’s metropolitan counties have greatly increased their investment in infrastructure that collects and processes organics over the years. </w:t>
      </w:r>
      <w:r w:rsidR="00FD13FB">
        <w:t xml:space="preserve">A potential limitation of </w:t>
      </w:r>
      <w:r w:rsidR="00393B5B">
        <w:t xml:space="preserve">the conducted </w:t>
      </w:r>
      <w:r w:rsidR="002A5242">
        <w:t>analysis</w:t>
      </w:r>
      <w:r w:rsidR="00FD13FB">
        <w:t xml:space="preserve"> is that </w:t>
      </w:r>
      <w:r w:rsidR="00240D60">
        <w:t>the amount of</w:t>
      </w:r>
      <w:r w:rsidR="007C31C1">
        <w:t xml:space="preserve"> collected</w:t>
      </w:r>
      <w:r w:rsidR="00240D60">
        <w:t xml:space="preserve"> recyclables and organics by the metropolitan counties in Minnesota were not calculated on a per capita basis, which could change the ANOVA and Tukey results and lead to different conclusions. F</w:t>
      </w:r>
      <w:r w:rsidR="00FD13FB">
        <w:t>uture stud</w:t>
      </w:r>
      <w:r w:rsidR="00240D60">
        <w:t>ies</w:t>
      </w:r>
      <w:r w:rsidR="00FD13FB">
        <w:t xml:space="preserve"> could be done to</w:t>
      </w:r>
      <w:r w:rsidR="00240D60">
        <w:t xml:space="preserve"> consider the per capita values of collected recyclables and organics and to </w:t>
      </w:r>
      <w:r w:rsidR="00FD13FB">
        <w:t>investigate the growth rate discrepancy between recyclables and organic</w:t>
      </w:r>
      <w:r w:rsidR="00240D60">
        <w:t>s.</w:t>
      </w:r>
    </w:p>
    <w:p w14:paraId="4A904D59" w14:textId="221F8D5C" w:rsidR="00706F40" w:rsidRDefault="00706F40">
      <w:r>
        <w:br w:type="page"/>
      </w:r>
    </w:p>
    <w:p w14:paraId="2F7ECA48" w14:textId="579B526B" w:rsidR="00240D60" w:rsidRPr="00706F40" w:rsidRDefault="001C5A95" w:rsidP="00706F40">
      <w:pPr>
        <w:pStyle w:val="NoSpacing"/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References</w:t>
      </w:r>
    </w:p>
    <w:p w14:paraId="6C822F46" w14:textId="77777777" w:rsidR="00EB5CF7" w:rsidRDefault="00BA236C" w:rsidP="00EB5CF7">
      <w:pPr>
        <w:pStyle w:val="NoSpacing"/>
        <w:spacing w:line="480" w:lineRule="auto"/>
        <w:ind w:left="720" w:hanging="720"/>
      </w:pPr>
      <w:r w:rsidRPr="00BA236C">
        <w:t xml:space="preserve">MPCA Data Services. (2024, February 22). </w:t>
      </w:r>
      <w:r w:rsidRPr="00BA236C">
        <w:rPr>
          <w:i/>
          <w:iCs/>
        </w:rPr>
        <w:t>SCORE Overview</w:t>
      </w:r>
      <w:r w:rsidRPr="00BA236C">
        <w:t>. Tableau Public. https://public.tableau.com/app/profile/mpca.data.services/viz/SCOREOverview/</w:t>
      </w:r>
    </w:p>
    <w:p w14:paraId="1D52F03B" w14:textId="7D9991E7" w:rsidR="00706F40" w:rsidRDefault="00BA236C" w:rsidP="001E3010">
      <w:pPr>
        <w:pStyle w:val="NoSpacing"/>
        <w:spacing w:line="480" w:lineRule="auto"/>
        <w:ind w:left="720"/>
      </w:pPr>
      <w:proofErr w:type="spellStart"/>
      <w:r w:rsidRPr="00BA236C">
        <w:t>SCOREOverview?publish</w:t>
      </w:r>
      <w:proofErr w:type="spellEnd"/>
      <w:r w:rsidRPr="00BA236C">
        <w:t>=yes</w:t>
      </w:r>
    </w:p>
    <w:p w14:paraId="362D3B91" w14:textId="77777777" w:rsidR="001E3010" w:rsidRDefault="001E3010" w:rsidP="001E3010">
      <w:pPr>
        <w:pStyle w:val="NoSpacing"/>
        <w:spacing w:line="480" w:lineRule="auto"/>
      </w:pPr>
    </w:p>
    <w:p w14:paraId="4A74C833" w14:textId="338D9E4B" w:rsidR="00706F40" w:rsidRDefault="00706F40" w:rsidP="007E2C0F">
      <w:pPr>
        <w:pStyle w:val="NoSpacing"/>
        <w:spacing w:line="480" w:lineRule="auto"/>
      </w:pPr>
      <w:r>
        <w:t>Allen’s GitHub</w:t>
      </w:r>
      <w:r w:rsidR="00BE70AD">
        <w:t xml:space="preserve"> repository</w:t>
      </w:r>
      <w:r>
        <w:t>:</w:t>
      </w:r>
      <w:r w:rsidR="002F0ECD">
        <w:t xml:space="preserve"> </w:t>
      </w:r>
      <w:r w:rsidR="0075561B">
        <w:t xml:space="preserve"> </w:t>
      </w:r>
      <w:r w:rsidR="003D260C" w:rsidRPr="003D260C">
        <w:t>https://github.com/Allen-Majd/ANOVA-Project-Paper</w:t>
      </w:r>
    </w:p>
    <w:p w14:paraId="221716E8" w14:textId="2E1F0B07" w:rsidR="00706F40" w:rsidRDefault="00706F40" w:rsidP="00706F40">
      <w:pPr>
        <w:pStyle w:val="NoSpacing"/>
        <w:spacing w:line="480" w:lineRule="auto"/>
      </w:pPr>
      <w:r>
        <w:t>Gustavo’s GitHub</w:t>
      </w:r>
      <w:r w:rsidR="00BE70AD">
        <w:t xml:space="preserve"> repository</w:t>
      </w:r>
      <w:r>
        <w:t>:</w:t>
      </w:r>
      <w:r w:rsidR="0075561B">
        <w:t xml:space="preserve">  </w:t>
      </w:r>
      <w:r w:rsidR="003D260C" w:rsidRPr="003D260C">
        <w:t>https://github.com/G-373/STAT-301_Project</w:t>
      </w:r>
    </w:p>
    <w:p w14:paraId="20974902" w14:textId="7D2FCD42" w:rsidR="00706F40" w:rsidRPr="009554B5" w:rsidRDefault="00706F40" w:rsidP="007E2C0F">
      <w:pPr>
        <w:pStyle w:val="NoSpacing"/>
        <w:spacing w:line="480" w:lineRule="auto"/>
      </w:pPr>
    </w:p>
    <w:sectPr w:rsidR="00706F40" w:rsidRPr="00955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3BFB5" w14:textId="77777777" w:rsidR="003057BD" w:rsidRDefault="003057BD" w:rsidP="003057BD">
      <w:pPr>
        <w:spacing w:after="0" w:line="240" w:lineRule="auto"/>
      </w:pPr>
      <w:r>
        <w:separator/>
      </w:r>
    </w:p>
  </w:endnote>
  <w:endnote w:type="continuationSeparator" w:id="0">
    <w:p w14:paraId="22468F73" w14:textId="77777777" w:rsidR="003057BD" w:rsidRDefault="003057BD" w:rsidP="00305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8744E" w14:textId="77777777" w:rsidR="003057BD" w:rsidRDefault="003057BD" w:rsidP="003057BD">
      <w:pPr>
        <w:spacing w:after="0" w:line="240" w:lineRule="auto"/>
      </w:pPr>
      <w:r>
        <w:separator/>
      </w:r>
    </w:p>
  </w:footnote>
  <w:footnote w:type="continuationSeparator" w:id="0">
    <w:p w14:paraId="186CDD44" w14:textId="77777777" w:rsidR="003057BD" w:rsidRDefault="003057BD" w:rsidP="003057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CAB"/>
    <w:rsid w:val="00033F35"/>
    <w:rsid w:val="00060598"/>
    <w:rsid w:val="00065987"/>
    <w:rsid w:val="000871A9"/>
    <w:rsid w:val="000878E1"/>
    <w:rsid w:val="00091AB8"/>
    <w:rsid w:val="000A1946"/>
    <w:rsid w:val="000F49AD"/>
    <w:rsid w:val="00111384"/>
    <w:rsid w:val="001450CB"/>
    <w:rsid w:val="00184457"/>
    <w:rsid w:val="00186698"/>
    <w:rsid w:val="00191033"/>
    <w:rsid w:val="001C5A95"/>
    <w:rsid w:val="001E3010"/>
    <w:rsid w:val="00240D60"/>
    <w:rsid w:val="00284C98"/>
    <w:rsid w:val="00285ECE"/>
    <w:rsid w:val="002A5242"/>
    <w:rsid w:val="002C694E"/>
    <w:rsid w:val="002F0ECD"/>
    <w:rsid w:val="003057BD"/>
    <w:rsid w:val="003507F7"/>
    <w:rsid w:val="00355A16"/>
    <w:rsid w:val="00393B5B"/>
    <w:rsid w:val="003A2632"/>
    <w:rsid w:val="003D260C"/>
    <w:rsid w:val="003E1341"/>
    <w:rsid w:val="0040729A"/>
    <w:rsid w:val="00487CAB"/>
    <w:rsid w:val="00494E71"/>
    <w:rsid w:val="004C0A07"/>
    <w:rsid w:val="004C2239"/>
    <w:rsid w:val="004D35FD"/>
    <w:rsid w:val="00567AC7"/>
    <w:rsid w:val="005733D9"/>
    <w:rsid w:val="00582AEB"/>
    <w:rsid w:val="00585D11"/>
    <w:rsid w:val="005D45C0"/>
    <w:rsid w:val="005E1E42"/>
    <w:rsid w:val="00600FC8"/>
    <w:rsid w:val="00641922"/>
    <w:rsid w:val="006775C6"/>
    <w:rsid w:val="00687B53"/>
    <w:rsid w:val="006B18B4"/>
    <w:rsid w:val="006E695B"/>
    <w:rsid w:val="00706F40"/>
    <w:rsid w:val="0072010B"/>
    <w:rsid w:val="00752273"/>
    <w:rsid w:val="0075561B"/>
    <w:rsid w:val="007A291E"/>
    <w:rsid w:val="007B23C7"/>
    <w:rsid w:val="007C31C1"/>
    <w:rsid w:val="007E2C0F"/>
    <w:rsid w:val="007E509A"/>
    <w:rsid w:val="007E67DC"/>
    <w:rsid w:val="007F1C2D"/>
    <w:rsid w:val="0080534F"/>
    <w:rsid w:val="00826EED"/>
    <w:rsid w:val="00834F0B"/>
    <w:rsid w:val="0086207B"/>
    <w:rsid w:val="008805D4"/>
    <w:rsid w:val="00881851"/>
    <w:rsid w:val="00881D14"/>
    <w:rsid w:val="008A1F3E"/>
    <w:rsid w:val="008A6C4B"/>
    <w:rsid w:val="008B73DF"/>
    <w:rsid w:val="008D585C"/>
    <w:rsid w:val="008E65DD"/>
    <w:rsid w:val="00914A6C"/>
    <w:rsid w:val="0093541A"/>
    <w:rsid w:val="009554B5"/>
    <w:rsid w:val="009664C6"/>
    <w:rsid w:val="0098777E"/>
    <w:rsid w:val="00991749"/>
    <w:rsid w:val="009B4E29"/>
    <w:rsid w:val="00A45EC8"/>
    <w:rsid w:val="00A46B74"/>
    <w:rsid w:val="00A703B6"/>
    <w:rsid w:val="00A828C0"/>
    <w:rsid w:val="00AF77AE"/>
    <w:rsid w:val="00B22775"/>
    <w:rsid w:val="00B447E9"/>
    <w:rsid w:val="00B7069E"/>
    <w:rsid w:val="00B86F71"/>
    <w:rsid w:val="00BA236C"/>
    <w:rsid w:val="00BA6936"/>
    <w:rsid w:val="00BE70AD"/>
    <w:rsid w:val="00C02523"/>
    <w:rsid w:val="00C14FE3"/>
    <w:rsid w:val="00C200F5"/>
    <w:rsid w:val="00C220F9"/>
    <w:rsid w:val="00C262F8"/>
    <w:rsid w:val="00C32C32"/>
    <w:rsid w:val="00C743C2"/>
    <w:rsid w:val="00C8353E"/>
    <w:rsid w:val="00C87455"/>
    <w:rsid w:val="00CF0D31"/>
    <w:rsid w:val="00D11279"/>
    <w:rsid w:val="00D31BCB"/>
    <w:rsid w:val="00D635ED"/>
    <w:rsid w:val="00D64ACB"/>
    <w:rsid w:val="00D923F3"/>
    <w:rsid w:val="00DC6503"/>
    <w:rsid w:val="00DE4F23"/>
    <w:rsid w:val="00E25AF6"/>
    <w:rsid w:val="00E4017F"/>
    <w:rsid w:val="00E435B3"/>
    <w:rsid w:val="00E503E0"/>
    <w:rsid w:val="00E67D4B"/>
    <w:rsid w:val="00EA419E"/>
    <w:rsid w:val="00EB5CF7"/>
    <w:rsid w:val="00EC1BBC"/>
    <w:rsid w:val="00F62FEB"/>
    <w:rsid w:val="00F82815"/>
    <w:rsid w:val="00FA6947"/>
    <w:rsid w:val="00FB4134"/>
    <w:rsid w:val="00FC5847"/>
    <w:rsid w:val="00FC5919"/>
    <w:rsid w:val="00FC68F7"/>
    <w:rsid w:val="00FD13FB"/>
    <w:rsid w:val="00FF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CCC1B"/>
  <w15:chartTrackingRefBased/>
  <w15:docId w15:val="{23DB7C4B-89B2-4C7A-A7DC-737E3F7E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C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C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C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C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CA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87CA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05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7BD"/>
  </w:style>
  <w:style w:type="paragraph" w:styleId="Footer">
    <w:name w:val="footer"/>
    <w:basedOn w:val="Normal"/>
    <w:link w:val="FooterChar"/>
    <w:uiPriority w:val="99"/>
    <w:unhideWhenUsed/>
    <w:rsid w:val="00305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7BD"/>
  </w:style>
  <w:style w:type="character" w:styleId="PlaceholderText">
    <w:name w:val="Placeholder Text"/>
    <w:basedOn w:val="DefaultParagraphFont"/>
    <w:uiPriority w:val="99"/>
    <w:semiHidden/>
    <w:rsid w:val="00C02523"/>
    <w:rPr>
      <w:color w:val="666666"/>
    </w:rPr>
  </w:style>
  <w:style w:type="table" w:styleId="TableGrid">
    <w:name w:val="Table Grid"/>
    <w:basedOn w:val="TableNormal"/>
    <w:uiPriority w:val="39"/>
    <w:rsid w:val="00407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5C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CF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A6C4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6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Majd, Allen B</dc:creator>
  <cp:keywords/>
  <dc:description/>
  <cp:lastModifiedBy>Majd, Allen B</cp:lastModifiedBy>
  <cp:revision>132</cp:revision>
  <dcterms:created xsi:type="dcterms:W3CDTF">2024-04-23T18:49:00Z</dcterms:created>
  <dcterms:modified xsi:type="dcterms:W3CDTF">2024-04-23T23:58:00Z</dcterms:modified>
</cp:coreProperties>
</file>