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440"/>
              <w:left w:type="dxa" w:w="560"/>
              <w:bottom w:type="dxa" w:w="440"/>
              <w:right w:type="dxa" w:w="5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BANK CUSTOMER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CHURN &amp; CLV PREDICTION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A8C6E8"/>
                <w:sz w:val="28"/>
                <w:szCs w:val="28"/>
              </w:rPr>
              <w:t xml:space="preserve">Machine Learning Project Report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Customer Churn &amp; CLV Prediction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Dataset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bank_customers_large.csv — 50,000 rows, 16 features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Models Developed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Logistic Regression, Random Forest, XGBoost, Ridge Regression, Gradient Boosting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Libraries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scikit-learn, XGBoost, SHAP, pandas, matplotlib, seaborn</w:t>
            </w:r>
          </w:p>
        </w:tc>
      </w:tr>
      <w:tr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1.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Customer churn is one of the most financially damaging challenges in retail banking. Acquiring a new customer costs five to seven times more than retaining an existing one, yet many institutions lack the predictive infrastructure to identify at-risk customers before they leave. This project addresses that gap through a comprehensive machine learning solution built on a dataset of 50,000 bank customers.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solution integrates two complementary predictive models: a churn classifier that estimates the probability each customer will leave, and a regression model that estimates each customer's lifetime value. By combining these outputs in a Risk-Value segmentation matrix, the bank can prioritise outreach resources toward the customers where retention efforts will have the highest financial return.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/>
          <w:iCs/>
          <w:color w:val="1E5FA8"/>
          <w:sz w:val="23"/>
          <w:szCs w:val="23"/>
        </w:rPr>
        <w:t xml:space="preserve">Key Business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 12,200 customers (24.6%) are predicted to churn — representing significant revenue exposure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revenue at risk across the portfolio is estimated at $167 million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3,515 customers are classified as Priority-1 (high churn risk and high CLV), with $26.9 million of their revenue at immediate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best churn model achieves an AUC-ROC of 0.638, with strong recall of 62% for churned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best CLV regression model explains 53.6% of CLV variance (R² = 0.536) with a mean absolute error of $2,812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SHAP analysis reveals that transaction behaviour (total transactions and average transaction value) and customer engagement are the dominant churn predictors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2. Project Objectives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project was designed to answer four core business questions: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Which customers are most likely to churn in the near term?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each customer worth to the bank (CLV)?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Which customers should the bank prioritise for retention campaigns?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are the key behavioural and demographic drivers of churn?</w:t>
      </w:r>
    </w:p>
    <w:p>
      <w:pPr>
        <w:spacing w:after="120" w:before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3. Dataset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dataset contains 50,000 anonymised bank customer records with no missing values. Each row represents a unique customer with demographic, financial, and behavioural attributes. There are two target variables: Exited (churn label) and CLV (Customer Lifetime Value in dollars).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/>
          <w:iCs/>
          <w:color w:val="1E5FA8"/>
          <w:sz w:val="23"/>
          <w:szCs w:val="23"/>
        </w:rPr>
        <w:t xml:space="preserve">Dataset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Rows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50,000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Columns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Duplicate Rows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Churn Rate (Exited = 1)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24.55%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Retained Rate (Exited = 0)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75.45%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CLV Mean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$7,491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CLV Range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$0.20 – $25,852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 Range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18 – 69 years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CreditScore Range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300 – 850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/>
          <w:iCs/>
          <w:color w:val="1E5FA8"/>
          <w:sz w:val="23"/>
          <w:szCs w:val="23"/>
        </w:rPr>
        <w:t xml:space="preserve">Feature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Unique customer identifier (dropped before modelling)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Customer age in years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Male or Female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Tenure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Years as a bank customer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Current account balance ($)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NumOfProducts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Number of bank products held (1–4)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HasCreditCard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Whether the customer holds a credit card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IsActiveMember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Binary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Whether the account is actively used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EstimatedSalary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Estimated annual salary ($)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CreditScore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Credit score (300–850)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TotalTransactions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number of transactions made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AverageTransactionValue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Mean transaction value ($)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AccountType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Standard or Premium account tier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North, South, East, or West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Exited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Target (Binary)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= Retained, 1 = Churned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CLV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Target (Continuous)</w:t>
            </w:r>
          </w:p>
        </w:tc>
        <w:tc>
          <w:tcPr>
            <w:tcW w:type="dxa" w:w="4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Customer Lifetime Value in dollars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4. Exploratory Data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comprehensive EDA was performed to understand data distributions, identify patterns, and inform feature engineering decisions.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Churn Distribution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dataset exhibits a moderate class imbalance: 75.45% retained vs 24.55% churned. While not severely imbalanced, this was addressed through class weighting and the scale_pos_weight parameter in XGBoost to ensure models do not simply predict the majority class.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CLV Distribution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CLV is right-skewed with a mean of $7,491 and median of $6,075. The distribution is approximately log-normal. Churned customers tend to have lower CLV on average, which forms the basis of the Risk-Value segmentation. Premium account holders show significantly higher CLV concentrations.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Key Feature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Age: Older customers (55+) show higher churn propensity. The 31–44 age band has the lowest churn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IsActiveMember: Inactive members churn at roughly twice the rate of active members — the single strongest binary signal.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NumOfProducts: Customers with 3–4 products have dramatically higher churn rates than those with 1–2, suggesting product overload or cross-sell dissatisfaction.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TotalTransactions: Lower transaction frequency strongly correlates with churn — disengaged customers are at-risk customers.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AccountType: Premium account holders show lower churn rates, likely due to higher switching costs and greater service investment.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Region: Meaningful variation in churn rates across regions suggests region-specific retention strategies may be warranted.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Correlation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Pearson correlation heatmap was computed on all numerical features. Key observations: TotalTransactions and AverageTransactionValue are strongly correlated with CLV (as expected). Age has a moderate positive correlation with churn. Balance shows a bimodal pattern — customers with zero balance churn at higher rates.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5. Feature Engineering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Five domain-informed features were derived from the raw dataset to capture customer behaviour and segment membership more effectively.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Derivation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BalancePerProduct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Balance ÷ (NumOfProducts + 1)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Captures product consolidation; customers with high balance per product may be more valuable per relationship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EngagementScore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0.4 × TotalTx + 0.3 × AvgTxValue + 0.3 × ActiveMember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Composite engagement metric balancing frequency, spend intensity, and account activity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AgeGroup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Binned: Young (18–30), Middle (31–45), Senior (46–60), Elderly (61+)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Captures non-linear age effects on churn that a continuous variable may miss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TenureGroup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Binned: New (0–3), Growing (4–7), Mature (8–12), Loyal (13+)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Encodes loyalty lifecycle stage; tenure's relationship with churn is non-monotonic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CreditBand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Binned: Poor (300–500), Fair (501–650), Good (651–750), Excellent (751+)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Buckets credit score into meaningful tiers used in banking segmentation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categorical features (Gender, HasCreditCard, IsActiveMember) were label-encoded, and nominal features (AccountType, Region, AgeGroup, TenureGroup, CreditBand) were one-hot encoded with drop_first=True to avoid multicollinearity.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6. Churn Prediction Modelling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Experimental Setup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full dataset (50,000 rows) was split 80/20 into training and test sets using stratified sampling to preserve the churn class ratio. Features were standardised for Logistic Regression using StandardScaler; tree-based models received raw features. A fixed random seed (42) ensures reproducibility.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Model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Hyperparameters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C=1.0, max_iter=1,000, class_weight='balanced'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n_estimators=200, max_depth=10, min_samples_leaf=5, class_weight='balanced'</w:t>
            </w:r>
          </w:p>
        </w:tc>
      </w:tr>
      <w:tr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XGBoost</w:t>
            </w:r>
          </w:p>
        </w:tc>
        <w:tc>
          <w:tcPr>
            <w:tcW w:type="dxa" w:w="5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n_estimators=300, max_depth=6, learning_rate=0.05, subsample=0.8, scale_pos_weight=3.07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Evaluation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760"/>
      </w:tblGrid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  <w:tc>
          <w:tcPr>
            <w:tcW w:type="dxa" w:w="1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AUC-ROC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0.615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0.336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0.581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0.425</w:t>
            </w:r>
          </w:p>
        </w:tc>
        <w:tc>
          <w:tcPr>
            <w:tcW w:type="dxa" w:w="1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0.635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0.602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0.333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0.620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0.433</w:t>
            </w:r>
          </w:p>
        </w:tc>
        <w:tc>
          <w:tcPr>
            <w:tcW w:type="dxa" w:w="1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0.638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XGBoost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0.609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0.328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0.565</w:t>
            </w:r>
          </w:p>
        </w:tc>
        <w:tc>
          <w:tcPr>
            <w:tcW w:type="dxa" w:w="13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0.415</w:t>
            </w:r>
          </w:p>
        </w:tc>
        <w:tc>
          <w:tcPr>
            <w:tcW w:type="dxa" w:w="1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0.626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Model Selection Rationale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Random Forest was selected as the best-performing classifier based on the highest AUC-ROC (0.638) and recall (62%). In churn prediction, recall is the critical metric: missing a churner (false negative) is far costlier than a false alarm, since the cost of a retention offer is far lower than the cost of losing a customer. Random Forest's balanced recall-precision trade-off makes it optimal for production deployment.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6.5 ROC &amp; Precision-Recall Curves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three classifiers substantially outperform the random baseline (AUC = 0.50). The Precision-Recall curves confirm that at high recall thresholds (&gt;60%), all models maintain meaningful precision gains over random, validating their use for targeted campaigns where recall-maximising thresholds are used.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7. Model Explainability (SHAP Analysis)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SHAP (SHapley Additive exPlanations) was applied to the XGBoost model using a TreeExplainer on a random 2,000-sample subset of the test set. SHAP values provide a theoretically grounded, consistent measure of each feature's contribution to individual predictions.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Top Churn Predictors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26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SHAP Interpretation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TotalTransactions</w:t>
            </w:r>
          </w:p>
        </w:tc>
        <w:tc>
          <w:tcPr>
            <w:tcW w:type="dxa" w:w="6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 transaction frequency strongly increases churn probability — disengaged customers are the highest risk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AverageTransactionValue</w:t>
            </w:r>
          </w:p>
        </w:tc>
        <w:tc>
          <w:tcPr>
            <w:tcW w:type="dxa" w:w="6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Lower average spend is associated with higher churn; high-spenders are retained more reliably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EngagementScore (derived)</w:t>
            </w:r>
          </w:p>
        </w:tc>
        <w:tc>
          <w:tcPr>
            <w:tcW w:type="dxa" w:w="6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composite engagement score is the most informative engineered feature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</w:t>
            </w:r>
          </w:p>
        </w:tc>
        <w:tc>
          <w:tcPr>
            <w:tcW w:type="dxa" w:w="6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Older customers show elevated churn risk; the relationship is non-linear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IsActiveMember</w:t>
            </w:r>
          </w:p>
        </w:tc>
        <w:tc>
          <w:tcPr>
            <w:tcW w:type="dxa" w:w="6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Inactive members show large positive SHAP values for churn across all customers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Balance</w:t>
            </w:r>
          </w:p>
        </w:tc>
        <w:tc>
          <w:tcPr>
            <w:tcW w:type="dxa" w:w="6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 very high and very low balances are associated with elevated churn (U-shaped)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6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NumOfProducts</w:t>
            </w:r>
          </w:p>
        </w:tc>
        <w:tc>
          <w:tcPr>
            <w:tcW w:type="dxa" w:w="6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3–4 products show a counterintuitive spike in churn risk</w:t>
            </w:r>
          </w:p>
        </w:tc>
      </w:tr>
      <w:tr>
        <w:tc>
          <w:tcPr>
            <w:tcW w:type="dxa" w:w="7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6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CreditScore</w:t>
            </w:r>
          </w:p>
        </w:tc>
        <w:tc>
          <w:tcPr>
            <w:tcW w:type="dxa" w:w="6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Poor credit scores modestly increase churn probability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Actionable Insights from SHAP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Transaction-based early warning: A sudden drop in TotalTransactions or AverageTransactionValue is the most reliable leading indicator of churn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Engagement intervention trigger: Customers transitioning from Active to Inactive should be automatically enrolled in a re-engagement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Multi-product review: Customers with 3+ products who show declining transactions should receive a product-fit review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8. Customer Lifetime Value Prediction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separate regression pipeline was built to estimate CLV for all customers. Accurate CLV estimates allow the bank to allocate retention budgets proportionally to each customer's financial worth.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Regression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20"/>
        <w:gridCol w:w="1620"/>
        <w:gridCol w:w="2620"/>
      </w:tblGrid>
      <w:tr>
        <w:tc>
          <w:tcPr>
            <w:tcW w:type="dxa" w:w="3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MAE ($)</w:t>
            </w:r>
          </w:p>
        </w:tc>
        <w:tc>
          <w:tcPr>
            <w:tcW w:type="dxa" w:w="16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RMSE ($)</w:t>
            </w:r>
          </w:p>
        </w:tc>
        <w:tc>
          <w:tcPr>
            <w:tcW w:type="dxa" w:w="26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</w:tr>
      <w:tr>
        <w:tc>
          <w:tcPr>
            <w:tcW w:type="dxa" w:w="3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Ridge Regression</w:t>
            </w:r>
          </w:p>
        </w:tc>
        <w:tc>
          <w:tcPr>
            <w:tcW w:type="dxa" w:w="16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2,812</w:t>
            </w:r>
          </w:p>
        </w:tc>
        <w:tc>
          <w:tcPr>
            <w:tcW w:type="dxa" w:w="16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3,755</w:t>
            </w:r>
          </w:p>
        </w:tc>
        <w:tc>
          <w:tcPr>
            <w:tcW w:type="dxa" w:w="26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0.536</w:t>
            </w:r>
          </w:p>
        </w:tc>
      </w:tr>
      <w:tr>
        <w:tc>
          <w:tcPr>
            <w:tcW w:type="dxa" w:w="3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Gradient Boosting Regressor</w:t>
            </w:r>
          </w:p>
        </w:tc>
        <w:tc>
          <w:tcPr>
            <w:tcW w:type="dxa" w:w="16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2,822</w:t>
            </w:r>
          </w:p>
        </w:tc>
        <w:tc>
          <w:tcPr>
            <w:tcW w:type="dxa" w:w="16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3,774</w:t>
            </w:r>
          </w:p>
        </w:tc>
        <w:tc>
          <w:tcPr>
            <w:tcW w:type="dxa" w:w="26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0.531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CLV Model Interpretation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Ridge Regression marginally outperforms Gradient Boosting in R² (53.6% vs 53.1%), which is expected when the target variable has a strong linear component. Both models deliver comparable prediction error (±2,800–3,800 MAD), which is acceptable given the CLV range of $0 to $25,852. The remaining unexplained variance (≈46%) likely reflects behavioural factors not captured in the static snapshot dataset.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Top CLV Predictors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AverageTransactionValue — the single strongest predictor of lifetime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TotalTransactions — high frequency customers accumulate significantly more value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Balance — larger balances correlate with higher CLV, particularly for Premium account 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Tenure — longer-tenured customers have higher CLV on average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EstimatedSalary — a moderate but consistent predictor of CLV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9. Retention Strategy &amp; Customer Segmentation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50,000 customers were scored on both churn probability and predicted CLV, then placed into a four-quadrant Risk-Value matrix to drive differentiated retention actions.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Segmentation Methodology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Risk tier and CLV tier were each derived by dividing the customer base into quantiles: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 Risk: Top 30% by churn probability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 CLV: Top 30% by predicted CLV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other combinations form Medium/Low tiers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Segment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200"/>
        <w:gridCol w:w="1400"/>
        <w:gridCol w:w="1400"/>
        <w:gridCol w:w="2260"/>
      </w:tblGrid>
      <w:tr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Churn Prob.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CLV</w:t>
            </w:r>
          </w:p>
        </w:tc>
        <w:tc>
          <w:tcPr>
            <w:tcW w:type="dxa" w:w="2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at Risk</w:t>
            </w:r>
          </w:p>
        </w:tc>
      </w:tr>
      <w:tr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Priority 1 — Critical (High Risk, High CLV)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3,515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63%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$12,139</w:t>
            </w:r>
          </w:p>
        </w:tc>
        <w:tc>
          <w:tcPr>
            <w:tcW w:type="dxa" w:w="2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$26,862,833</w:t>
            </w:r>
          </w:p>
        </w:tc>
      </w:tr>
      <w:tr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Priority 2 — At Risk (High Risk, Low CLV)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11,485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63%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$5,067</w:t>
            </w:r>
          </w:p>
        </w:tc>
        <w:tc>
          <w:tcPr>
            <w:tcW w:type="dxa" w:w="2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$36,424,254</w:t>
            </w:r>
          </w:p>
        </w:tc>
      </w:tr>
      <w:tr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Priority 3 — Valuable (Low Risk, High CLV)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11,485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37%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$12,437</w:t>
            </w:r>
          </w:p>
        </w:tc>
        <w:tc>
          <w:tcPr>
            <w:tcW w:type="dxa" w:w="2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$53,327,799</w:t>
            </w:r>
          </w:p>
        </w:tc>
      </w:tr>
      <w:tr>
        <w:tc>
          <w:tcPr>
            <w:tcW w:type="dxa" w:w="31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Priority 4 — Standard (Low Risk, Low CLV)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23,515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39%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$5,560</w:t>
            </w:r>
          </w:p>
        </w:tc>
        <w:tc>
          <w:tcPr>
            <w:tcW w:type="dxa" w:w="22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$50,473,815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Revenue at Risk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$167,088,701</w:t>
            </w:r>
          </w:p>
        </w:tc>
        <w:tc>
          <w:tcPr>
            <w:tcW w:type="dxa" w:w="468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Priority-1 Customers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8"/>
                <w:sz w:val="48"/>
                <w:szCs w:val="48"/>
              </w:rPr>
              <w:t xml:space="preserve">3,515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Recommended Retention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5FA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Priority 1 — Critical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Immediate 1-on-1 outreach by Relationship Manager; bespoke loyalty offer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Phone, In-branch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Priority 2 — At Risk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Automated personalised email and SMS re-engagement sequence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Email, SMS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Priority 3 — Valuable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Proactive loyalty rewards; upsell premium products and advisory services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App, Email</w:t>
            </w:r>
          </w:p>
        </w:tc>
      </w:tr>
      <w:tr>
        <w:tc>
          <w:tcPr>
            <w:tcW w:type="dxa" w:w="2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Priority 4 — Standard</w:t>
            </w:r>
          </w:p>
        </w:tc>
        <w:tc>
          <w:tcPr>
            <w:tcW w:type="dxa" w:w="4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Standard service tier; no incremental spend</w:t>
            </w:r>
          </w:p>
        </w:tc>
        <w:tc>
          <w:tcPr>
            <w:tcW w:type="dxa" w:w="2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Digital self-serve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E5FA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10. Conclusions &amp; Next Steps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Summary of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Random Forest classifier achieves AUC-ROC of 0.638 and recall of 62% on the held-out test set — sufficient for a cost-effective targeting campaign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Ridge Regression model explains 53.6% of CLV variance (R² = 0.536), enabling proportional budget allocation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 behaviour (frequency and value) is the dominant churn signal, ahead of demographic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Risk-Value matrix identifies 3,515 Priority-1 customers representing $26.9M in at-risk CLV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Engineered features (EngagementScore, BalancePerProduct) rank among the top predictors, validating the feature engineering effort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dataset is a static snapshot — temporal dynamics (e.g., deteriorating transaction trends) are not captured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AUC-ROC of ~0.64 indicates moderate predictive power; performance may improve with richer behavioural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CLV R² of ~0.54 suggests significant unexplained variance, possibly from product usage depth or relationship history data not present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10.3 Recommended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Hyperparameter optimisation using Optuna or Bayesian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Incorporate time-series transaction data to capture trend-based churn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 the scoring pipeline as a REST API (FastAPI) to enable real-time churn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controlled A/B tests measuring actual churn reduction in Priority-1 vs. control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SMOTE oversampling to the minority class to further improve recall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Re-train models quarterly as customer behaviour patterns evolve</w:t>
      </w:r>
    </w:p>
    <w:p>
      <w:pPr>
        <w:spacing w:after="120" w:before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E5FA8"/>
                <w:sz w:val="19"/>
                <w:szCs w:val="19"/>
              </w:rPr>
              <w:t xml:space="preserve">Built with Python · scikit-learn · XGBoost · SHAP · pandas · seaborn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026"/>
      </w:tabs>
      <w:spacing w:after="0" w:before="100"/>
      <w:jc w:val="left"/>
    </w:pPr>
    <w:r>
      <w:rPr>
        <w:rFonts w:ascii="Arial" w:cs="Arial" w:eastAsia="Arial" w:hAnsi="Arial"/>
        <w:color w:val="888888"/>
        <w:sz w:val="16"/>
        <w:szCs w:val="16"/>
      </w:rPr>
      <w:t xml:space="preserve">Confidential — For 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6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E5FA8"/>
        <w:sz w:val="18"/>
        <w:szCs w:val="18"/>
      </w:rPr>
      <w:t xml:space="preserve">Bank Customer Churn &amp; CLV Prediction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5F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i/>
      <w:iCs/>
      <w:color w:val="1E5FA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2026-04-17T21:09:16.723Z</dcterms:created>
  <dcterms:modified xsi:type="dcterms:W3CDTF">2026-04-17T21:09:16.724Z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