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E3A5F"/>
          <w:sz w:val="30"/>
          <w:szCs w:val="30"/>
        </w:rPr>
        <w:t xml:space="preserve">CREATIVE LEARNING ACADEMY</w:t>
      </w:r>
    </w:p>
    <w:p>
      <w:pPr>
        <w:spacing w:after="80"/>
      </w:pPr>
      <w:r>
        <w:rPr>
          <w:color w:val="1F2937"/>
          <w:sz w:val="18"/>
          <w:szCs w:val="18"/>
        </w:rPr>
        <w:t xml:space="preserve">I dug into what laws actually apply to us and whether real funding exists for this.</w:t>
      </w:r>
    </w:p>
    <w:p>
      <w:pPr>
        <w:pStyle w:val="Heading2"/>
        <w:spacing w:after="60" w:before="160"/>
      </w:pPr>
      <w:r>
        <w:rPr>
          <w:b/>
          <w:bCs/>
          <w:color w:val="1E3A5F"/>
          <w:sz w:val="21"/>
          <w:szCs w:val="21"/>
        </w:rPr>
        <w:t xml:space="preserve">The funding picture</w:t>
      </w:r>
    </w:p>
    <w:p>
      <w:pPr>
        <w:pStyle w:val="ListParagraph"/>
        <w:numPr>
          <w:ilvl w:val="0"/>
          <w:numId w:val="2"/>
        </w:numPr>
        <w:spacing w:after="40"/>
      </w:pPr>
      <w:r>
        <w:rPr>
          <w:color w:val="1F2937"/>
          <w:sz w:val="18"/>
          <w:szCs w:val="18"/>
        </w:rPr>
        <w:t xml:space="preserve">The real option is the Dept. of Education's SBIR program (via IES) — legit federal program, built specifically for for-profit ed-tech companies like us.</w:t>
      </w:r>
    </w:p>
    <w:p>
      <w:pPr>
        <w:pStyle w:val="ListParagraph"/>
        <w:numPr>
          <w:ilvl w:val="0"/>
          <w:numId w:val="2"/>
        </w:numPr>
        <w:spacing w:after="40"/>
      </w:pPr>
      <w:r>
        <w:rPr>
          <w:color w:val="1F2937"/>
          <w:sz w:val="18"/>
          <w:szCs w:val="18"/>
        </w:rPr>
        <w:t xml:space="preserve">We already missed this year's window — FY2026 proposals were due June 29, 2026. Next one (FY2027) should post around Nov–Dec 2026.</w:t>
      </w:r>
    </w:p>
    <w:p>
      <w:pPr>
        <w:pStyle w:val="ListParagraph"/>
        <w:numPr>
          <w:ilvl w:val="0"/>
          <w:numId w:val="2"/>
        </w:numPr>
        <w:spacing w:after="40"/>
      </w:pPr>
      <w:r>
        <w:rPr>
          <w:color w:val="1F2937"/>
          <w:sz w:val="18"/>
          <w:szCs w:val="18"/>
        </w:rPr>
        <w:t xml:space="preserve">It's a contract, not a grant — paid out in milestone installments, and we keep full ownership either way.</w:t>
      </w:r>
    </w:p>
    <w:p>
      <w:pPr>
        <w:pStyle w:val="ListParagraph"/>
        <w:numPr>
          <w:ilvl w:val="0"/>
          <w:numId w:val="2"/>
        </w:numPr>
        <w:spacing w:after="40"/>
      </w:pPr>
      <w:r>
        <w:rPr>
          <w:color w:val="1F2937"/>
          <w:sz w:val="18"/>
          <w:szCs w:val="18"/>
        </w:rPr>
        <w:t xml:space="preserve">Phase IA ($250K/9 months) is our track — building an early prototype from scratch, which fits where we are once we have something working to show.</w:t>
      </w:r>
    </w:p>
    <w:p>
      <w:pPr>
        <w:pStyle w:val="ListParagraph"/>
        <w:numPr>
          <w:ilvl w:val="0"/>
          <w:numId w:val="2"/>
        </w:numPr>
        <w:spacing w:after="40"/>
      </w:pPr>
      <w:r>
        <w:rPr>
          <w:color w:val="1F2937"/>
          <w:sz w:val="18"/>
          <w:szCs w:val="18"/>
        </w:rPr>
        <w:t xml:space="preserve">Phase IB (also $250K/9mo, adding a new capability to an existing product) and Phase II ($1M/2yrs, scaling a proven Phase I) come later, once there's real traction.</w:t>
      </w:r>
    </w:p>
    <w:p>
      <w:pPr>
        <w:pStyle w:val="ListParagraph"/>
        <w:numPr>
          <w:ilvl w:val="0"/>
          <w:numId w:val="2"/>
        </w:numPr>
        <w:spacing w:after="40"/>
      </w:pPr>
      <w:r>
        <w:rPr>
          <w:color w:val="1F2937"/>
          <w:sz w:val="18"/>
          <w:szCs w:val="18"/>
        </w:rPr>
        <w:t xml:space="preserve">Direct-to-Phase-II ($1M/2yrs) doesn't fit us — that one's for ideas already proven by a university/nonprofit partner.</w:t>
      </w:r>
    </w:p>
    <w:p>
      <w:pPr>
        <w:pStyle w:val="ListParagraph"/>
        <w:numPr>
          <w:ilvl w:val="0"/>
          <w:numId w:val="2"/>
        </w:numPr>
        <w:spacing w:after="40"/>
      </w:pPr>
      <w:r>
        <w:rPr>
          <w:color w:val="1F2937"/>
          <w:sz w:val="18"/>
          <w:szCs w:val="18"/>
        </w:rPr>
        <w:t xml:space="preserve">There's a bigger federal grant (EIR, $4-15M) but we can't apply directly — only a school district or nonprofit can lead it, with us as a partner.</w:t>
      </w:r>
    </w:p>
    <w:p>
      <w:pPr>
        <w:pStyle w:val="ListParagraph"/>
        <w:numPr>
          <w:ilvl w:val="0"/>
          <w:numId w:val="2"/>
        </w:numPr>
        <w:spacing w:after="40"/>
      </w:pPr>
      <w:r>
        <w:rPr>
          <w:color w:val="1F2937"/>
          <w:sz w:val="18"/>
          <w:szCs w:val="18"/>
        </w:rPr>
        <w:t xml:space="preserve">Skip the “Texas Emerging Technology Fund” if it comes up in searches — it was shut down back in 2015.</w:t>
      </w:r>
    </w:p>
    <w:p>
      <w:pPr>
        <w:spacing w:after="30" w:before="80"/>
      </w:pPr>
      <w:r>
        <w:rPr>
          <w:b/>
          <w:bCs/>
          <w:i/>
          <w:iCs/>
          <w:color w:val="555555"/>
          <w:sz w:val="15"/>
          <w:szCs w:val="15"/>
        </w:rPr>
        <w:t xml:space="preserve">Funding sources</w:t>
      </w:r>
    </w:p>
    <w:p>
      <w:pPr>
        <w:spacing w:after="20"/>
      </w:pPr>
      <w:r>
        <w:rPr>
          <w:color w:val="555555"/>
          <w:sz w:val="15"/>
          <w:szCs w:val="15"/>
        </w:rPr>
        <w:t xml:space="preserve">• </w:t>
      </w:r>
      <w:hyperlink w:history="1" r:id="rIdayk5aba4gnxdrztvv-lxs">
        <w:r>
          <w:rPr>
            <w:rStyle w:val="Hyperlink"/>
            <w:sz w:val="15"/>
            <w:szCs w:val="15"/>
          </w:rPr>
          <w:t xml:space="preserve">ED/IES SBIR — official program page</w:t>
        </w:r>
      </w:hyperlink>
    </w:p>
    <w:p>
      <w:pPr>
        <w:spacing w:after="20"/>
      </w:pPr>
      <w:r>
        <w:rPr>
          <w:color w:val="555555"/>
          <w:sz w:val="15"/>
          <w:szCs w:val="15"/>
        </w:rPr>
        <w:t xml:space="preserve">• </w:t>
      </w:r>
      <w:hyperlink w:history="1" r:id="rId1lllby-qdy5i14fgtnio3">
        <w:r>
          <w:rPr>
            <w:rStyle w:val="Hyperlink"/>
            <w:sz w:val="15"/>
            <w:szCs w:val="15"/>
          </w:rPr>
          <w:t xml:space="preserve">FY2026 SBIR solicitation dates — IES</w:t>
        </w:r>
      </w:hyperlink>
    </w:p>
    <w:p>
      <w:pPr>
        <w:spacing w:after="20"/>
      </w:pPr>
      <w:r>
        <w:rPr>
          <w:color w:val="555555"/>
          <w:sz w:val="15"/>
          <w:szCs w:val="15"/>
        </w:rPr>
        <w:t xml:space="preserve">• </w:t>
      </w:r>
      <w:hyperlink w:history="1" r:id="rIdtf-pigpkt3fqwpmmea23d">
        <w:r>
          <w:rPr>
            <w:rStyle w:val="Hyperlink"/>
            <w:sz w:val="15"/>
            <w:szCs w:val="15"/>
          </w:rPr>
          <w:t xml:space="preserve">EIR grant eligibility — U.S. Dept. of Education</w:t>
        </w:r>
      </w:hyperlink>
    </w:p>
    <w:p>
      <w:pPr>
        <w:spacing w:after="20"/>
      </w:pPr>
      <w:r>
        <w:rPr>
          <w:color w:val="555555"/>
          <w:sz w:val="15"/>
          <w:szCs w:val="15"/>
        </w:rPr>
        <w:t xml:space="preserve">• </w:t>
      </w:r>
      <w:hyperlink w:history="1" r:id="rIdh2axm0kppy5rrighyrqhj">
        <w:r>
          <w:rPr>
            <w:rStyle w:val="Hyperlink"/>
            <w:sz w:val="15"/>
            <w:szCs w:val="15"/>
          </w:rPr>
          <w:t xml:space="preserve">Texas Emerging Technology Fund abolished — GovTech</w:t>
        </w:r>
      </w:hyperlink>
    </w:p>
    <w:p>
      <w:pPr>
        <w:pStyle w:val="Heading2"/>
        <w:spacing w:after="60" w:before="160"/>
      </w:pPr>
      <w:r>
        <w:rPr>
          <w:b/>
          <w:bCs/>
          <w:color w:val="1E3A5F"/>
          <w:sz w:val="21"/>
          <w:szCs w:val="21"/>
        </w:rPr>
        <w:t xml:space="preserve">The legal picture</w:t>
      </w:r>
    </w:p>
    <w:p>
      <w:pPr>
        <w:pStyle w:val="ListParagraph"/>
        <w:numPr>
          <w:ilvl w:val="0"/>
          <w:numId w:val="2"/>
        </w:numPr>
        <w:spacing w:after="40"/>
      </w:pPr>
      <w:r>
        <w:rPr>
          <w:color w:val="1F2937"/>
          <w:sz w:val="18"/>
          <w:szCs w:val="18"/>
        </w:rPr>
        <w:t xml:space="preserve">COPPA (federal) only covers kids under 13: we need parental consent before collecting any data, no targeted ads, and accounts should belong to the parent, not the child.</w:t>
      </w:r>
    </w:p>
    <w:p>
      <w:pPr>
        <w:pStyle w:val="ListParagraph"/>
        <w:numPr>
          <w:ilvl w:val="0"/>
          <w:numId w:val="2"/>
        </w:numPr>
        <w:spacing w:after="40"/>
      </w:pPr>
      <w:r>
        <w:rPr>
          <w:color w:val="1F2937"/>
          <w:sz w:val="18"/>
          <w:szCs w:val="18"/>
        </w:rPr>
        <w:t xml:space="preserve">Kids 13–17 aren't covered by COPPA, but Texas still has us covered under TASAA (age verification/ratings) and the SCOPE Act (partly blocked in court right now, worth re-checking before launch).</w:t>
      </w:r>
    </w:p>
    <w:p>
      <w:pPr>
        <w:pStyle w:val="ListParagraph"/>
        <w:numPr>
          <w:ilvl w:val="0"/>
          <w:numId w:val="2"/>
        </w:numPr>
        <w:spacing w:after="40"/>
      </w:pPr>
      <w:r>
        <w:rPr>
          <w:color w:val="1F2937"/>
          <w:sz w:val="18"/>
          <w:szCs w:val="18"/>
        </w:rPr>
        <w:t xml:space="preserve">Texas's TDPSA (their broad privacy law) automatically treats any data from a “known child” under 13 as sensitive — extra protections kick in automatically.</w:t>
      </w:r>
    </w:p>
    <w:p>
      <w:pPr>
        <w:pStyle w:val="ListParagraph"/>
        <w:numPr>
          <w:ilvl w:val="0"/>
          <w:numId w:val="2"/>
        </w:numPr>
        <w:spacing w:after="40"/>
      </w:pPr>
      <w:r>
        <w:rPr>
          <w:color w:val="1F2937"/>
          <w:sz w:val="18"/>
          <w:szCs w:val="18"/>
        </w:rPr>
        <w:t xml:space="preserve">If schools/districts ever use this directly, Texas Ed Code §32.151 kicks in: no ad-targeting or selling student data, and we'd have to delete it within 60 days of a district asking.</w:t>
      </w:r>
    </w:p>
    <w:p>
      <w:pPr>
        <w:pStyle w:val="ListParagraph"/>
        <w:numPr>
          <w:ilvl w:val="0"/>
          <w:numId w:val="2"/>
        </w:numPr>
        <w:spacing w:after="40"/>
      </w:pPr>
      <w:r>
        <w:rPr>
          <w:color w:val="1F2937"/>
          <w:sz w:val="18"/>
          <w:szCs w:val="18"/>
        </w:rPr>
        <w:t xml:space="preserve">Texas has a real state-adoption process (IMRA) — get approved and schools can buy this with state funding. Bigger payoff than subscriptions, but slower and further out.</w:t>
      </w:r>
    </w:p>
    <w:p>
      <w:pPr>
        <w:spacing w:after="30" w:before="80"/>
      </w:pPr>
      <w:r>
        <w:rPr>
          <w:b/>
          <w:bCs/>
          <w:i/>
          <w:iCs/>
          <w:color w:val="555555"/>
          <w:sz w:val="15"/>
          <w:szCs w:val="15"/>
        </w:rPr>
        <w:t xml:space="preserve">Legal sources</w:t>
      </w:r>
    </w:p>
    <w:p>
      <w:pPr>
        <w:spacing w:after="20"/>
      </w:pPr>
      <w:r>
        <w:rPr>
          <w:color w:val="555555"/>
          <w:sz w:val="15"/>
          <w:szCs w:val="15"/>
        </w:rPr>
        <w:t xml:space="preserve">• </w:t>
      </w:r>
      <w:hyperlink w:history="1" r:id="rIddo7_zk2und5yxgk3pa4nn">
        <w:r>
          <w:rPr>
            <w:rStyle w:val="Hyperlink"/>
            <w:sz w:val="15"/>
            <w:szCs w:val="15"/>
          </w:rPr>
          <w:t xml:space="preserve">Texas Student Privacy Act (Ed Code §32.151) — Cybernut</w:t>
        </w:r>
      </w:hyperlink>
    </w:p>
    <w:p>
      <w:pPr>
        <w:spacing w:after="20"/>
      </w:pPr>
      <w:r>
        <w:rPr>
          <w:color w:val="555555"/>
          <w:sz w:val="15"/>
          <w:szCs w:val="15"/>
        </w:rPr>
        <w:t xml:space="preserve">• </w:t>
      </w:r>
      <w:hyperlink w:history="1" r:id="rIdxvqbtxerirclgwljev-1q">
        <w:r>
          <w:rPr>
            <w:rStyle w:val="Hyperlink"/>
            <w:sz w:val="15"/>
            <w:szCs w:val="15"/>
          </w:rPr>
          <w:t xml:space="preserve">TASAA, SCOPE Act, TDPSA overview — PRIVO</w:t>
        </w:r>
      </w:hyperlink>
    </w:p>
    <w:p>
      <w:pPr>
        <w:spacing w:after="20"/>
      </w:pPr>
      <w:r>
        <w:rPr>
          <w:color w:val="555555"/>
          <w:sz w:val="15"/>
          <w:szCs w:val="15"/>
        </w:rPr>
        <w:t xml:space="preserve">• </w:t>
      </w:r>
      <w:hyperlink w:history="1" r:id="rId_qdonwv-ucydijaayzcyx">
        <w:r>
          <w:rPr>
            <w:rStyle w:val="Hyperlink"/>
            <w:sz w:val="15"/>
            <w:szCs w:val="15"/>
          </w:rPr>
          <w:t xml:space="preserve">Texas Data Privacy and Security Act — Osano</w:t>
        </w:r>
      </w:hyperlink>
    </w:p>
    <w:p>
      <w:pPr>
        <w:spacing w:after="20"/>
      </w:pPr>
      <w:r>
        <w:rPr>
          <w:color w:val="555555"/>
          <w:sz w:val="15"/>
          <w:szCs w:val="15"/>
        </w:rPr>
        <w:t xml:space="preserve">• </w:t>
      </w:r>
      <w:hyperlink w:history="1" r:id="rIdipywjzeyt0l3gac7xyje8">
        <w:r>
          <w:rPr>
            <w:rStyle w:val="Hyperlink"/>
            <w:sz w:val="15"/>
            <w:szCs w:val="15"/>
          </w:rPr>
          <w:t xml:space="preserve">COPPA 2026 amended rule — PrivacyLawMap</w:t>
        </w:r>
      </w:hyperlink>
    </w:p>
    <w:p>
      <w:pPr>
        <w:spacing w:after="20"/>
      </w:pPr>
      <w:r>
        <w:rPr>
          <w:color w:val="555555"/>
          <w:sz w:val="15"/>
          <w:szCs w:val="15"/>
        </w:rPr>
        <w:t xml:space="preserve">• </w:t>
      </w:r>
      <w:hyperlink w:history="1" r:id="rIdwaytvwebvm18ucxmeo699">
        <w:r>
          <w:rPr>
            <w:rStyle w:val="Hyperlink"/>
            <w:sz w:val="15"/>
            <w:szCs w:val="15"/>
          </w:rPr>
          <w:t xml:space="preserve">Texas IMRA — Texas Education Agency</w:t>
        </w:r>
      </w:hyperlink>
    </w:p>
    <w:p>
      <w:pPr>
        <w:pStyle w:val="Heading2"/>
        <w:spacing w:after="60" w:before="160"/>
      </w:pPr>
      <w:r>
        <w:rPr>
          <w:b/>
          <w:bCs/>
          <w:color w:val="1E3A5F"/>
          <w:sz w:val="21"/>
          <w:szCs w:val="21"/>
        </w:rPr>
        <w:t xml:space="preserve">What I think we should do</w:t>
      </w:r>
    </w:p>
    <w:p>
      <w:pPr>
        <w:spacing w:after="80"/>
      </w:pPr>
      <w:r>
        <w:rPr>
          <w:color w:val="1F2937"/>
          <w:sz w:val="18"/>
          <w:szCs w:val="18"/>
        </w:rPr>
        <w:t xml:space="preserve">Build the working prototype first, on our own — no grant money needed for that part. Once there's something real to show, we apply for the SBIR Phase IA when the FY2027 window opens. IMRA and EIR are real, but they're both later-stage moves once we've actually got users.</w:t>
      </w:r>
    </w:p>
    <w:sectPr>
      <w:pgSz w:w="12240" w:h="15840" w:orient="portrait"/>
      <w:pgMar w:top="620" w:right="700" w:bottom="62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yk5aba4gnxdrztvv-lxs" Type="http://schemas.openxmlformats.org/officeDocument/2006/relationships/hyperlink" Target="https://ies.ed.gov/sbir/" TargetMode="External"/><Relationship Id="rId1lllby-qdy5i14fgtnio3" Type="http://schemas.openxmlformats.org/officeDocument/2006/relationships/hyperlink" Target="https://ies.ed.gov/funding/research/programs/small-business-innovation-research-sbir/solicitation-information" TargetMode="External"/><Relationship Id="rIdtf-pigpkt3fqwpmmea23d" Type="http://schemas.openxmlformats.org/officeDocument/2006/relationships/hyperlink" Target="https://www.ed.gov/grants-and-programs/grants-special-populations/grants-economically-disadvantaged-students/education-innovation-and-research" TargetMode="External"/><Relationship Id="rIdh2axm0kppy5rrighyrqhj" Type="http://schemas.openxmlformats.org/officeDocument/2006/relationships/hyperlink" Target="https://www.govtech.com/budget-finance/texas-gov-abbott-abolishes-rick-perrys-emerging-tech-fund.html" TargetMode="External"/><Relationship Id="rIddo7_zk2und5yxgk3pa4nn" Type="http://schemas.openxmlformats.org/officeDocument/2006/relationships/hyperlink" Target="https://www.cybernut.com/blog/what-to-know-about-the-texas-student-privacy-act-ed-code-32-151" TargetMode="External"/><Relationship Id="rIdxvqbtxerirclgwljev-1q" Type="http://schemas.openxmlformats.org/officeDocument/2006/relationships/hyperlink" Target="https://www.privo.com/blog/texas-compliance-simplified" TargetMode="External"/><Relationship Id="rId_qdonwv-ucydijaayzcyx" Type="http://schemas.openxmlformats.org/officeDocument/2006/relationships/hyperlink" Target="https://www.osano.com/articles/texas-data-privacy-and-security-act-tdpsa" TargetMode="External"/><Relationship Id="rIdipywjzeyt0l3gac7xyje8" Type="http://schemas.openxmlformats.org/officeDocument/2006/relationships/hyperlink" Target="https://privacylawmap.com/blog/coppa-compliance-guide-2026" TargetMode="External"/><Relationship Id="rIdwaytvwebvm18ucxmeo699" Type="http://schemas.openxmlformats.org/officeDocument/2006/relationships/hyperlink" Target="https://tea.texas.gov/academics/instructional-materials/review-and-adoption-process/instructional-materials-review-and-approval-resources"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2026-08-09T23:22:11.314Z</dcterms:created>
  <dcterms:modified xsi:type="dcterms:W3CDTF">2026-08-09T23:22:11.315Z</dcterms:modified>
</cp:coreProperties>
</file>

<file path=docProps/custom.xml><?xml version="1.0" encoding="utf-8"?>
<Properties xmlns="http://schemas.openxmlformats.org/officeDocument/2006/custom-properties" xmlns:vt="http://schemas.openxmlformats.org/officeDocument/2006/docPropsVTypes"/>
</file>