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rFonts w:ascii="Calibri" w:hAnsi="Calibri" w:eastAsia="宋体"/>
          <w:b/>
          <w:color w:val="16835F"/>
          <w:sz w:val="24"/>
        </w:rPr>
        <w:t>比赛参赛项目 · 开题报告附加材料</w:t>
      </w:r>
    </w:p>
    <w:p>
      <w:pPr>
        <w:spacing w:after="160"/>
        <w:jc w:val="center"/>
      </w:pPr>
      <w:r>
        <w:rPr>
          <w:rFonts w:ascii="Calibri" w:hAnsi="Calibri" w:eastAsia="宋体"/>
          <w:b/>
          <w:color w:val="0F172A"/>
          <w:sz w:val="50"/>
        </w:rPr>
        <w:t>青少年 C++ 算法可视化教学系统</w:t>
      </w:r>
    </w:p>
    <w:p>
      <w:pPr>
        <w:spacing w:after="80"/>
        <w:jc w:val="center"/>
      </w:pPr>
      <w:r>
        <w:rPr>
          <w:rFonts w:ascii="Calibri" w:hAnsi="Calibri" w:eastAsia="宋体"/>
          <w:b/>
          <w:color w:val="1F4D78"/>
          <w:sz w:val="30"/>
        </w:rPr>
        <w:t>让抽象算法看得见、写得出、练得会</w:t>
      </w:r>
    </w:p>
    <w:p>
      <w:pPr>
        <w:spacing w:after="360"/>
        <w:jc w:val="center"/>
      </w:pPr>
      <w:r>
        <w:rPr>
          <w:rFonts w:ascii="Calibri" w:hAnsi="Calibri" w:eastAsia="宋体"/>
          <w:color w:val="64748B"/>
          <w:sz w:val="21"/>
        </w:rPr>
        <w:t>可运行全栈 MVP | 算法动画 × 在线判题 × 学习数据闭环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59552"/>
            <wp:docPr id="1" name="Picture 1" descr="高精度加法课程动画页" title="高精度加法课程动画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1  课程页将算法动画、理解路径、C++ 代码与练习入口放在同一学习空间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算法章节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课程课时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唯一题目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动画课时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9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16835F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84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2E74B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201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7706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48"/>
              </w:rPr>
              <w:t>35</w:t>
            </w:r>
          </w:p>
        </w:tc>
      </w:tr>
    </w:tbl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一句话价值  </w:t>
      </w:r>
      <w:r>
        <w:rPr>
          <w:rFonts w:ascii="Calibri" w:hAnsi="Calibri" w:eastAsia="Microsoft YaHei"/>
          <w:color w:val="1F2937"/>
          <w:sz w:val="22"/>
        </w:rPr>
        <w:t>用可复用的算法动画把抽象过程讲清楚，用在线判题把“看懂”转化为“会写”，再用学习数据帮助教师把下一次课讲得更准。</w:t>
      </w:r>
    </w:p>
    <w:p>
      <w:r>
        <w:br w:type="page"/>
      </w:r>
    </w:p>
    <w:p>
      <w:pPr>
        <w:pStyle w:val="Heading1"/>
      </w:pPr>
      <w:r>
        <w:t>一、评委导读：为什么值得进入下一轮</w:t>
      </w:r>
    </w:p>
    <w:p>
      <w:r>
        <w:rPr>
          <w:rFonts w:ascii="Calibri" w:hAnsi="Calibri" w:eastAsia="Microsoft YaHei"/>
          <w:color w:val="1F2937"/>
          <w:sz w:val="22"/>
        </w:rPr>
        <w:t>本项目面向青少年 C++ 与信息学竞赛入门场景，聚焦两个长期痛点：一是算法中的状态、指针、调用栈和边界过程难以仅靠板书讲清；二是高质量动画课程制作成本高、练习与教学反馈彼此割裂。项目已经实现 React 学习前台、Manim 动画生产、FastAPI 判题服务与 SQLite 数据看板，形成可本地运行、可展示、可继续扩展的完整 MVP。</w:t>
      </w:r>
    </w:p>
    <w:p>
      <w:pPr>
        <w:spacing w:before="120" w:after="200" w:line="300" w:lineRule="auto"/>
        <w:ind w:left="259" w:right="259"/>
        <w:shd w:fill="FFF8E8"/>
        <w:pBdr>
          <w:left w:val="single" w:sz="20" w:space="8" w:color="D97706"/>
        </w:pBdr>
      </w:pPr>
      <w:r>
        <w:rPr>
          <w:rFonts w:ascii="Calibri" w:hAnsi="Calibri" w:eastAsia="Microsoft YaHei"/>
          <w:b/>
          <w:color w:val="D97706"/>
          <w:sz w:val="22"/>
        </w:rPr>
        <w:t xml:space="preserve">建议评委先看  </w:t>
      </w:r>
      <w:r>
        <w:rPr>
          <w:rFonts w:ascii="Calibri" w:hAnsi="Calibri" w:eastAsia="Microsoft YaHei"/>
          <w:color w:val="1F2937"/>
          <w:sz w:val="22"/>
        </w:rPr>
        <w:t>项目的核心创新不在某一张动画或某一道题，而在同一知识点从动画、代码、练习、判题到教师诊断的全链路一致映射。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555"/>
        <w:gridCol w:w="4155"/>
      </w:tblGrid>
      <w:tr>
        <w:trPr>
          <w:tblHeader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评委关注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常见单点方案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本项目的回答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是否真能学会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只看动画或只刷题，理解与编码脱节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动画步骤、C++ 变量、练习测试点使用一致知识映射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是否可规模化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每个知识点重复手工制作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 Manim 主题、组件、脚本和课时数据约定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是否能迭代</w:t>
            </w:r>
          </w:p>
        </w:tc>
        <w:tc>
          <w:tcPr>
            <w:tcW w:type="dxa" w:w="35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课程发布后缺少反馈证据</w:t>
            </w:r>
          </w:p>
        </w:tc>
        <w:tc>
          <w:tcPr>
            <w:tcW w:type="dxa" w:w="4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提交、通过率、薄弱题与错误类型回流教师看板</w:t>
            </w:r>
          </w:p>
        </w:tc>
      </w:tr>
    </w:tbl>
    <w:p>
      <w:pPr>
        <w:pStyle w:val="Heading2"/>
      </w:pPr>
      <w:r>
        <w:t>项目落地佐证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当前课程数据实际包含 9 个章节、84 个课时、203 个课时练习引用（去重后 201 个唯一题目）；35 个课时已接入 Manim 动画。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7 个章节状态为 ready，2 个章节处于持续建设；高精度、排序、递推与递归已形成动画课时样板。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在线 C++17 编辑、自动保存、提交、测试点结果、提交历史、进度联动与教师统计看板均可运行。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Judge Adapter 已抽象 LocalJudge / DockerJudge，两类判题实现可替换，便于从本地演示过渡到隔离部署。</w:t>
      </w:r>
    </w:p>
    <w:p>
      <w:pPr>
        <w:pStyle w:val="Heading2"/>
      </w:pPr>
      <w:r>
        <w:t>申报结论</w:t>
      </w:r>
    </w:p>
    <w:p>
      <w:r>
        <w:rPr>
          <w:rFonts w:ascii="Calibri" w:hAnsi="Calibri" w:eastAsia="Microsoft YaHei"/>
          <w:color w:val="1F2937"/>
          <w:sz w:val="22"/>
        </w:rPr>
        <w:t>项目已越过“只有创意或界面原型”的早期阶段：内容、交互、判题、数据和演示脚本均有代码与界面证据。参赛价值在于把教学创新与工程落地放在同一套系统中验证，并为规模化内容生产留下清晰接口。</w:t>
      </w:r>
    </w:p>
    <w:p>
      <w:r>
        <w:br w:type="page"/>
      </w:r>
    </w:p>
    <w:p>
      <w:pPr>
        <w:pStyle w:val="Heading1"/>
      </w:pPr>
      <w:r>
        <w:t>二、核心创新：把单点工具连成学习闭环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0260"/>
            <wp:docPr id="2" name="Picture 2" descr="算法学习闭环图" title="算法学习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2  动画理解—代码映射—在线练习—即时判题—分层反馈—教师诊断</w:t>
      </w:r>
    </w:p>
    <w:p>
      <w:pPr>
        <w:pStyle w:val="Heading2"/>
      </w:pPr>
      <w:r>
        <w:t>创新 1｜动画不是终点，而是代码理解的入口。</w:t>
      </w:r>
    </w:p>
    <w:p>
      <w:r>
        <w:rPr>
          <w:rFonts w:ascii="Calibri" w:hAnsi="Calibri" w:eastAsia="Microsoft YaHei"/>
          <w:color w:val="1F2937"/>
          <w:sz w:val="22"/>
        </w:rPr>
        <w:t>动画中的数组格、指针、调用栈、状态转移与递归树继续映射到 C++ 变量、循环边界与测试点，减少“动画看懂了，代码仍不会写”的断层。</w:t>
      </w:r>
    </w:p>
    <w:p>
      <w:pPr>
        <w:pStyle w:val="Heading2"/>
      </w:pPr>
      <w:r>
        <w:t>创新 2｜分层反馈替代直接给答案。</w:t>
      </w:r>
    </w:p>
    <w:p>
      <w:r>
        <w:rPr>
          <w:rFonts w:ascii="Calibri" w:hAnsi="Calibri" w:eastAsia="Microsoft YaHei"/>
          <w:color w:val="1F2937"/>
          <w:sz w:val="22"/>
        </w:rPr>
        <w:t>练习先提示思路，再提示关键变量与边界，最后才进入核心实现；同时提供题解要点与常见错误，为青少年提供适度支架。</w:t>
      </w:r>
    </w:p>
    <w:p>
      <w:pPr>
        <w:pStyle w:val="Heading2"/>
      </w:pPr>
      <w:r>
        <w:t>创新 3｜教师看板把错误转化为教学动作。</w:t>
      </w:r>
    </w:p>
    <w:p>
      <w:r>
        <w:rPr>
          <w:rFonts w:ascii="Calibri" w:hAnsi="Calibri" w:eastAsia="Microsoft YaHei"/>
          <w:color w:val="1F2937"/>
          <w:sz w:val="22"/>
        </w:rPr>
        <w:t>系统聚合通过率、薄弱题、错误类型与平均尝试次数，把学生提交转化为下一次课的复讲重点与练习梯度建议。</w:t>
      </w:r>
    </w:p>
    <w:p>
      <w:pPr>
        <w:pStyle w:val="Heading2"/>
      </w:pPr>
      <w:r>
        <w:t>创新 4｜内容生产流程可复用。</w:t>
      </w:r>
    </w:p>
    <w:p>
      <w:r>
        <w:rPr>
          <w:rFonts w:ascii="Calibri" w:hAnsi="Calibri" w:eastAsia="Microsoft YaHei"/>
          <w:color w:val="1F2937"/>
          <w:sz w:val="22"/>
        </w:rPr>
        <w:t>统一 Manim 主题、数组组件、预览图、场景命名与逐镜头脚本，让新增知识点能够复用已有视觉语言和工程流程。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评委看点  </w:t>
      </w:r>
      <w:r>
        <w:rPr>
          <w:rFonts w:ascii="Calibri" w:hAnsi="Calibri" w:eastAsia="Microsoft YaHei"/>
          <w:color w:val="1F2937"/>
          <w:sz w:val="22"/>
        </w:rPr>
        <w:t>创新点均有对应运行证据：图 4 证明学生端闭环，图 5 证明在线判题，图 6 证明数据回流；并非仅停留在概念描述。</w:t>
      </w:r>
    </w:p>
    <w:p>
      <w:r>
        <w:br w:type="page"/>
      </w:r>
    </w:p>
    <w:p>
      <w:pPr>
        <w:pStyle w:val="Heading1"/>
      </w:pPr>
      <w:r>
        <w:t>三、系统架构与工程创新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3" name="Picture 3" descr="系统四层架构图" title="系统四层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3  学习交互层、课程内容层、服务判题层与数据反馈层协同</w:t>
      </w:r>
    </w:p>
    <w:p>
      <w:pPr>
        <w:pStyle w:val="Heading2"/>
      </w:pPr>
      <w:r>
        <w:t>模块化设计带来的可扩展性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前端：</w:t>
      </w:r>
      <w:r>
        <w:rPr>
          <w:rFonts w:ascii="Calibri" w:hAnsi="Calibri" w:eastAsia="Microsoft YaHei"/>
          <w:color w:val="1F2937"/>
          <w:sz w:val="22"/>
        </w:rPr>
        <w:t>React + TypeScript + Vite 负责课程导航、进度、视频、讲义、练习与教师看板。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内容：</w:t>
      </w:r>
      <w:r>
        <w:rPr>
          <w:rFonts w:ascii="Calibri" w:hAnsi="Calibri" w:eastAsia="Microsoft YaHei"/>
          <w:color w:val="1F2937"/>
          <w:sz w:val="22"/>
        </w:rPr>
        <w:t>Manim 负责算法动画生产，课程数据模型统一承载课时、示例、练习与媒体路径。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服务：</w:t>
      </w:r>
      <w:r>
        <w:rPr>
          <w:rFonts w:ascii="Calibri" w:hAnsi="Calibri" w:eastAsia="Microsoft YaHei"/>
          <w:color w:val="1F2937"/>
          <w:sz w:val="22"/>
        </w:rPr>
        <w:t>FastAPI 提供提交、判题、历史、统计与能力查询接口。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判题：</w:t>
      </w:r>
      <w:r>
        <w:rPr>
          <w:rFonts w:ascii="Calibri" w:hAnsi="Calibri" w:eastAsia="Microsoft YaHei"/>
          <w:color w:val="1F2937"/>
          <w:sz w:val="22"/>
        </w:rPr>
        <w:t>JudgeService 将业务层与执行环境隔离，可在 LocalJudge、DockerJudge 或外部 OJ Adapter 之间切换。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b/>
          <w:color w:val="1F2937"/>
          <w:sz w:val="22"/>
        </w:rPr>
        <w:t>数据：</w:t>
      </w:r>
      <w:r>
        <w:rPr>
          <w:rFonts w:ascii="Calibri" w:hAnsi="Calibri" w:eastAsia="Microsoft YaHei"/>
          <w:color w:val="1F2937"/>
          <w:sz w:val="22"/>
        </w:rPr>
        <w:t>SQLite 记录提交并生成聚合统计，浏览器本地状态在后端不可用时提供体验兜底。</w:t>
      </w:r>
    </w:p>
    <w:p>
      <w:pPr>
        <w:pStyle w:val="Heading2"/>
      </w:pPr>
      <w:r>
        <w:t>方案深度佐证</w:t>
      </w:r>
    </w:p>
    <w:p>
      <w:r>
        <w:rPr>
          <w:rFonts w:ascii="Calibri" w:hAnsi="Calibri" w:eastAsia="Microsoft YaHei"/>
          <w:color w:val="1F2937"/>
          <w:sz w:val="22"/>
        </w:rPr>
        <w:t>项目不是把多个开源组件简单拼接：课程内容模型决定动画与练习的映射，Judge Adapter 约束判题边界，统计看板又从提交记录计算教学指标。每一层都围绕同一教学闭环设计，因此能够在保持模块解耦的同时形成产品协同。</w:t>
      </w:r>
    </w:p>
    <w:p>
      <w:r>
        <w:br w:type="page"/>
      </w:r>
    </w:p>
    <w:p>
      <w:pPr>
        <w:pStyle w:val="Heading1"/>
      </w:pPr>
      <w:r>
        <w:t>四、学生端证据 1：从动画到代码的同屏学习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85595"/>
            <wp:docPr id="4" name="Picture 4" descr="高精度加法课程页截图" title="高精度加法课程页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4  高精度加法课程页：动画、概念标签、理解路径、C++ 示例与课时导航</w:t>
      </w:r>
    </w:p>
    <w:p>
      <w:pPr>
        <w:pStyle w:val="Heading2"/>
      </w:pPr>
      <w:r>
        <w:t>界面如何服务学习，而不是只追求展示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动画区把“反向存储、逐位相加、carry 进位、取模与整除”拆成可观察步骤。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概念标签与理解路径帮助学生在观看过程中建立术语和步骤锚点。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C++ 示例与动画共用变量含义，学生可把画面中的变化直接对应到代码。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课时导航、标记完成、练习状态和继续学习入口共同维护学习节奏。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教学设计意图  </w:t>
      </w:r>
      <w:r>
        <w:rPr>
          <w:rFonts w:ascii="Calibri" w:hAnsi="Calibri" w:eastAsia="Microsoft YaHei"/>
          <w:color w:val="1F2937"/>
          <w:sz w:val="22"/>
        </w:rPr>
        <w:t>让学生先形成过程模型，再进入语法实现；降低一上来面对整段代码时的认知负荷。</w:t>
      </w:r>
    </w:p>
    <w:p>
      <w:r>
        <w:br w:type="page"/>
      </w:r>
    </w:p>
    <w:p>
      <w:pPr>
        <w:pStyle w:val="Heading1"/>
      </w:pPr>
      <w:r>
        <w:t>五、学生端证据 2：在线编码、判题与复盘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5" name="Picture 5" descr="在线 C++ 判题页面截图" title="在线 C++ 判题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-jud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5  Monaco C++17 编辑器、判题结果与最近提交在同一页面完成</w:t>
      </w:r>
    </w:p>
    <w:p>
      <w:pPr>
        <w:pStyle w:val="Heading2"/>
      </w:pPr>
      <w:r>
        <w:t>可验证的练习闭环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学生从课程练习入口进入题目，编辑器自动加载起始代码并保存草稿。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提交后由 FastAPI 调用 Judge Adapter，执行公开与隐藏测试点。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页面展示 Accepted、Wrong Answer、Compile Error 等结果和通过测试点数量。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Accepted 自动计入学习进度；错误提交保留在最近记录中，便于回看和复盘。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分层提示、题解要点和常见错误在卡住时提供逐步帮助，而不是直接暴露完整答案。</w:t>
      </w:r>
    </w:p>
    <w:p>
      <w:pPr>
        <w:spacing w:before="120" w:after="200" w:line="300" w:lineRule="auto"/>
        <w:ind w:left="259" w:right="259"/>
        <w:shd w:fill="FEF2F2"/>
        <w:pBdr>
          <w:left w:val="single" w:sz="20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工程边界  </w:t>
      </w:r>
      <w:r>
        <w:rPr>
          <w:rFonts w:ascii="Calibri" w:hAnsi="Calibri" w:eastAsia="Microsoft YaHei"/>
          <w:color w:val="1F2937"/>
          <w:sz w:val="22"/>
        </w:rPr>
        <w:t>当前 local-process 判题器仅用于 MVP 本地演示；正式部署需启用 Docker 沙箱或接入外部 OJ，项目已为此预留 Adapter。</w:t>
      </w:r>
    </w:p>
    <w:p>
      <w:r>
        <w:br w:type="page"/>
      </w:r>
    </w:p>
    <w:p>
      <w:pPr>
        <w:pStyle w:val="Heading1"/>
      </w:pPr>
      <w:r>
        <w:t>六、教师端证据：从提交记录到教学诊断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1"/>
            <wp:docPr id="6" name="Picture 6" descr="教师视角学习数据看板截图" title="教师视角学习数据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6  提交统计、练习覆盖、薄弱题、错误类型和教师建议</w:t>
      </w:r>
    </w:p>
    <w:p>
      <w:pPr>
        <w:pStyle w:val="Heading2"/>
      </w:pPr>
      <w:r>
        <w:t>评委一眼应看到的三个变化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从“学生做没做”升级为“学生卡在哪里”：薄弱题排行结合低通过率、无 Accepted 和错误提交密度。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从“总体分数”升级为“错误类型”：答案错误、编译错误等分布帮助教师判断是概念、边界还是语法问题。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从“展示数据”升级为“建议行动”：看板根据薄弱题、错误类型和练习覆盖给出下一次课建议。</w:t>
      </w:r>
    </w:p>
    <w:p>
      <w:r>
        <w:rPr>
          <w:rFonts w:ascii="Calibri" w:hAnsi="Calibri" w:eastAsia="Microsoft YaHei"/>
          <w:color w:val="1F2937"/>
          <w:sz w:val="22"/>
        </w:rPr>
        <w:t>当前截图使用可重复生成的 Demo 提交数据，用于稳定展示统计逻辑；后续接入真实账号、班级和日期筛选后，可直接扩展为课堂反馈看板。</w:t>
      </w:r>
    </w:p>
    <w:p>
      <w:r>
        <w:br w:type="page"/>
      </w:r>
    </w:p>
    <w:p>
      <w:pPr>
        <w:pStyle w:val="Heading1"/>
      </w:pPr>
      <w:r>
        <w:t>七、课程规模与内容生产证据</w:t>
      </w:r>
    </w:p>
    <w:p>
      <w:r>
        <w:rPr>
          <w:rFonts w:ascii="Calibri" w:hAnsi="Calibri" w:eastAsia="Microsoft YaHei"/>
          <w:color w:val="1F2937"/>
          <w:sz w:val="22"/>
        </w:rPr>
        <w:t>下表由当前前端课程配置统计，数据对应仓库中的实际课时与练习，不把规划中的空壳能力计入已完成成果。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500"/>
        <w:gridCol w:w="1900"/>
        <w:gridCol w:w="1320"/>
        <w:gridCol w:w="1460"/>
        <w:gridCol w:w="1460"/>
      </w:tblGrid>
      <w:tr>
        <w:trPr>
          <w:tblHeader w:val="true"/>
        </w:trP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章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课时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练习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动画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高精度计算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11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数据排序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递推算法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D97706"/>
                <w:sz w:val="18"/>
              </w:rPr>
              <w:t>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递归算法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27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搜索与回溯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D97706"/>
                <w:sz w:val="18"/>
              </w:rPr>
              <w:t>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贪心算法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20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分治算法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16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广度优先搜索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动态规划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8"/>
              </w:rPr>
              <w:t>ready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合计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7 ready / 2 building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84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203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35</w:t>
            </w:r>
          </w:p>
        </w:tc>
      </w:tr>
    </w:tbl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表 1  当前课程覆盖与动画接入情况（203 为课时引用数，去重后为 201 个唯一题目）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1901952" cy="1069848"/>
            <wp:docPr id="7" name="Picture 7" descr="快速排序分区动画" title="快速排序分区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ort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01952" cy="1069848"/>
            <wp:docPr id="8" name="Picture 8" descr="递归调用栈动画" title="递归调用栈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sion_call_stack_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01952" cy="1069013"/>
            <wp:docPr id="9" name="Picture 9" descr="数塔递推状态动画" title="数塔递推状态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rrence_number_tower_p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"/>
          <w:color w:val="64748B"/>
          <w:sz w:val="18"/>
        </w:rPr>
        <w:t>图 8  跨章节动画视觉语言：快速排序、递归调用栈与数塔递推</w:t>
      </w:r>
    </w:p>
    <w:p>
      <w:r>
        <w:rPr>
          <w:rFonts w:ascii="Calibri" w:hAnsi="Calibri" w:eastAsia="Microsoft YaHei"/>
          <w:color w:val="1F2937"/>
          <w:sz w:val="22"/>
        </w:rPr>
        <w:t>高精度、排序、递推和递归已形成统一视觉语言；搜索与回溯、贪心、分治、BFS 与动态规划已具备课时与练习结构，其中部分章节配有逐镜头制作脚本，动画将按现有模板持续补齐。</w:t>
      </w:r>
    </w:p>
    <w:p>
      <w:r>
        <w:br w:type="page"/>
      </w:r>
    </w:p>
    <w:p>
      <w:pPr>
        <w:pStyle w:val="Heading1"/>
      </w:pPr>
      <w:r>
        <w:t>八、参赛优势、可行性与验证</w:t>
      </w:r>
    </w:p>
    <w:p>
      <w:pPr>
        <w:pStyle w:val="Heading2"/>
      </w:pPr>
      <w:r>
        <w:t>相对优势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相对录播课程：学生不是被动观看，而是立即进入同知识点的代码与练习。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相对在线题库：系统先建立过程理解，再通过分层提示和题解完成反馈。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相对单个动画 Demo：项目有统一课程结构、201 个唯一题目、判题接口和数据回流。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相对概念型参赛方案：可一键启动，有真实页面、API、提交记录和演示检查脚本。</w:t>
      </w:r>
    </w:p>
    <w:p>
      <w:pPr>
        <w:pStyle w:val="Heading2"/>
      </w:pPr>
      <w:r>
        <w:t>工程验证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验证维度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0F172A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证据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前端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TypeScript 编译与 Vite 生产构建可执行；课程媒体路径与题目 ID 可检查。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后端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FastAPI 健康检查、提交、历史、统计和 Judge 能力查询接口已实现。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内容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Manim 场景提供 480p15 预览与多项 1080p60 成片，预览图直接进入课程。</w:t>
            </w:r>
          </w:p>
        </w:tc>
      </w:tr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CFD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66534"/>
                <w:sz w:val="19"/>
              </w:rPr>
              <w:t>演示</w:t>
            </w:r>
          </w:p>
        </w:tc>
        <w:tc>
          <w:tcPr>
            <w:tcW w:type="dxa" w:w="7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seed_demo_data.py 可重复生成看板数据，demo_start / stop / check 脚本降低现场风险。</w:t>
            </w:r>
          </w:p>
        </w:tc>
      </w:tr>
    </w:tbl>
    <w:p>
      <w:pPr>
        <w:pStyle w:val="Heading2"/>
      </w:pPr>
      <w:r>
        <w:t>预期价值</w:t>
      </w:r>
    </w:p>
    <w:p>
      <w:r>
        <w:rPr>
          <w:rFonts w:ascii="Calibri" w:hAnsi="Calibri" w:eastAsia="Microsoft YaHei"/>
          <w:color w:val="1F2937"/>
          <w:sz w:val="22"/>
        </w:rPr>
        <w:t>对学生，降低算法抽象门槛并缩短从理解到独立编码的距离；对教师，提供可观察的错误与复讲依据；对内容团队，降低跨章节动画与练习生产成本；对平台，提供可独立接入的课程、判题与统计模块。</w:t>
      </w:r>
    </w:p>
    <w:p>
      <w:r>
        <w:br w:type="page"/>
      </w:r>
    </w:p>
    <w:p>
      <w:pPr>
        <w:pStyle w:val="Heading1"/>
      </w:pPr>
      <w:r>
        <w:t>九、风险控制、路线图与现场演示</w:t>
      </w:r>
    </w:p>
    <w:p>
      <w:pPr>
        <w:pStyle w:val="Heading2"/>
      </w:pPr>
      <w:r>
        <w:t>已识别风险及控制措施</w:t>
      </w:r>
    </w:p>
    <w:p>
      <w:r>
        <w:rPr>
          <w:rFonts w:ascii="Calibri" w:hAnsi="Calibri" w:eastAsia="Microsoft YaHei"/>
          <w:b/>
          <w:color w:val="1F2937"/>
          <w:sz w:val="22"/>
        </w:rPr>
        <w:t>判题安全：</w:t>
      </w:r>
      <w:r>
        <w:rPr>
          <w:rFonts w:ascii="Calibri" w:hAnsi="Calibri" w:eastAsia="Microsoft YaHei"/>
          <w:color w:val="1F2937"/>
          <w:sz w:val="22"/>
        </w:rPr>
        <w:t>本地进程判题仅用于演示；生产环境切换 Docker 沙箱或外部 OJ Adapter。</w:t>
      </w:r>
    </w:p>
    <w:p>
      <w:r>
        <w:rPr>
          <w:rFonts w:ascii="Calibri" w:hAnsi="Calibri" w:eastAsia="Microsoft YaHei"/>
          <w:b/>
          <w:color w:val="1F2937"/>
          <w:sz w:val="22"/>
        </w:rPr>
        <w:t>内容完整度：</w:t>
      </w:r>
      <w:r>
        <w:rPr>
          <w:rFonts w:ascii="Calibri" w:hAnsi="Calibri" w:eastAsia="Microsoft YaHei"/>
          <w:color w:val="1F2937"/>
          <w:sz w:val="22"/>
        </w:rPr>
        <w:t>明确区分 35 个已接入动画课时与尚待成片章节，不把规划能力包装为完成成果。</w:t>
      </w:r>
    </w:p>
    <w:p>
      <w:r>
        <w:rPr>
          <w:rFonts w:ascii="Calibri" w:hAnsi="Calibri" w:eastAsia="Microsoft YaHei"/>
          <w:b/>
          <w:color w:val="1F2937"/>
          <w:sz w:val="22"/>
        </w:rPr>
        <w:t>数据真实性：</w:t>
      </w:r>
      <w:r>
        <w:rPr>
          <w:rFonts w:ascii="Calibri" w:hAnsi="Calibri" w:eastAsia="Microsoft YaHei"/>
          <w:color w:val="1F2937"/>
          <w:sz w:val="22"/>
        </w:rPr>
        <w:t>Demo 数据只用于稳定展示统计逻辑；真实课堂评估将引入账号、班级与时间维度。</w:t>
      </w:r>
    </w:p>
    <w:p>
      <w:r>
        <w:rPr>
          <w:rFonts w:ascii="Calibri" w:hAnsi="Calibri" w:eastAsia="Microsoft YaHei"/>
          <w:b/>
          <w:color w:val="1F2937"/>
          <w:sz w:val="22"/>
        </w:rPr>
        <w:t>依赖与部署：</w:t>
      </w:r>
      <w:r>
        <w:rPr>
          <w:rFonts w:ascii="Calibri" w:hAnsi="Calibri" w:eastAsia="Microsoft YaHei"/>
          <w:color w:val="1F2937"/>
          <w:sz w:val="22"/>
        </w:rPr>
        <w:t>演示前运行检查脚本，后续补充容器化、依赖锁定与持续集成。</w:t>
      </w:r>
    </w:p>
    <w:p>
      <w:pPr>
        <w:pStyle w:val="Heading2"/>
      </w:pPr>
      <w:r>
        <w:t>下一阶段路线图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补齐搜索与回溯、贪心、分治、BFS、动态规划的重点动画成片。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完成 Docker 判题器实测、资源限制、危险系统调用控制与并发队列。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接入真实学生与班级，增加日期、章节和学生维度筛选。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开展课堂试点，以前后测、完成率、平均尝试次数和典型错误变化评估效果。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在行为数据基础上生成个性化复习路径与教师课后复习包。</w:t>
      </w:r>
    </w:p>
    <w:p>
      <w:pPr>
        <w:pStyle w:val="Heading2"/>
      </w:pPr>
      <w:r>
        <w:t>建议 3 分钟现场演示路径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打开高精度加法课时：展示动画与变量映射。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进入“大整数加法”：展示编辑、提交与测试点结果。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返回课程：展示 Accepted 自动计入进度。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1F2937"/>
          <w:sz w:val="22"/>
        </w:rPr>
        <w:t>打开教师看板：展示薄弱题、错误分布与教学建议。</w:t>
      </w:r>
    </w:p>
    <w:p>
      <w:pPr>
        <w:spacing w:before="120" w:after="200" w:line="300" w:lineRule="auto"/>
        <w:ind w:left="259" w:right="259"/>
        <w:shd w:fill="ECFDF5"/>
        <w:pBdr>
          <w:left w:val="single" w:sz="20" w:space="8" w:color="166534"/>
        </w:pBdr>
      </w:pPr>
      <w:r>
        <w:rPr>
          <w:rFonts w:ascii="Calibri" w:hAnsi="Calibri" w:eastAsia="Microsoft YaHei"/>
          <w:b/>
          <w:color w:val="166534"/>
          <w:sz w:val="22"/>
        </w:rPr>
        <w:t xml:space="preserve">最终结论  </w:t>
      </w:r>
      <w:r>
        <w:rPr>
          <w:rFonts w:ascii="Calibri" w:hAnsi="Calibri" w:eastAsia="Microsoft YaHei"/>
          <w:color w:val="1F2937"/>
          <w:sz w:val="22"/>
        </w:rPr>
        <w:t>本项目以可运行工程证明了一条清晰路径：把算法过程可视化，把理解结果转化为代码能力，再把练习数据转化为教学决策。它既具备比赛现场的可展示性，也具备后续真实课堂验证和平台化扩展的基础。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</w:r>
    <w:fldSimple w:instr="PAGE"/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宋体"/>
        <w:b/>
        <w:color w:val="64748B"/>
        <w:sz w:val="18"/>
      </w:rPr>
      <w:t>青少年 C++ 算法可视化教学系统</w:t>
    </w:r>
    <w:r>
      <w:rPr>
        <w:rFonts w:ascii="Calibri" w:hAnsi="Calibri" w:eastAsia="Microsoft YaHei"/>
        <w:color w:val="64748B"/>
        <w:sz w:val="18"/>
      </w:rPr>
      <w:t xml:space="preserve">  |  开题报告附加材料 · 参赛项目佐证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青少年 C++ 算法可视化教学系统——开题报告附加材料</dc:title>
  <dc:subject>比赛参赛项目佐证材料</dc:subject>
  <dc:creator>python-docx</dc:creator>
  <cp:keywords>C++, 算法可视化, Manim, 在线判题, 教学数据</cp:keywords>
  <dc:description>narrative_proposal preset; CJK body: Microsoft YaHei; Chinese headings: SimSun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