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B452" w14:textId="3E119D8A" w:rsidR="00D42293" w:rsidRDefault="00C752E7">
      <w:pPr>
        <w:spacing w:before="720" w:after="80"/>
        <w:jc w:val="center"/>
      </w:pPr>
      <w:r w:rsidRPr="004C4D06">
        <w:rPr>
          <w:rFonts w:ascii="Times New Roman" w:hAnsi="Times New Roman" w:cs="Times New Roman"/>
          <w:noProof/>
        </w:rPr>
        <w:drawing>
          <wp:inline distT="0" distB="0" distL="0" distR="0" wp14:anchorId="44D57F4A" wp14:editId="4D8110A6">
            <wp:extent cx="5501005" cy="2671272"/>
            <wp:effectExtent l="0" t="0" r="4445" b="0"/>
            <wp:docPr id="904708642" name="Picture 3" descr="Middlesex University logo - Fonts I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ddlesex University logo - Fonts In Us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01005" cy="2671272"/>
                    </a:xfrm>
                    <a:prstGeom prst="rect">
                      <a:avLst/>
                    </a:prstGeom>
                    <a:noFill/>
                    <a:ln>
                      <a:noFill/>
                    </a:ln>
                  </pic:spPr>
                </pic:pic>
              </a:graphicData>
            </a:graphic>
          </wp:inline>
        </w:drawing>
      </w:r>
      <w:r>
        <w:rPr>
          <w:rFonts w:ascii="Times New Roman" w:hAnsi="Times New Roman"/>
          <w:b/>
          <w:color w:val="003366"/>
          <w:sz w:val="32"/>
        </w:rPr>
        <w:t>MIDDLESEX UNIVERSITY DUBAI</w:t>
      </w:r>
    </w:p>
    <w:p w14:paraId="6F227FA7" w14:textId="77777777" w:rsidR="00C752E7" w:rsidRDefault="00C752E7" w:rsidP="00C752E7">
      <w:pPr>
        <w:spacing w:after="80"/>
        <w:jc w:val="center"/>
      </w:pPr>
      <w:r>
        <w:rPr>
          <w:rFonts w:ascii="Times New Roman" w:hAnsi="Times New Roman"/>
          <w:color w:val="000000"/>
          <w:sz w:val="24"/>
        </w:rPr>
        <w:t>MSc Data Science and Artificial Intelligence</w:t>
      </w:r>
    </w:p>
    <w:p w14:paraId="52C51E26" w14:textId="1988206F" w:rsidR="00C752E7" w:rsidRDefault="00C752E7" w:rsidP="00C752E7">
      <w:pPr>
        <w:spacing w:after="720"/>
        <w:jc w:val="center"/>
      </w:pPr>
      <w:r>
        <w:rPr>
          <w:rFonts w:ascii="Times New Roman" w:hAnsi="Times New Roman"/>
          <w:color w:val="000000"/>
          <w:sz w:val="24"/>
        </w:rPr>
        <w:t>CST4275 - Research Methods and Professional Practice</w:t>
      </w:r>
    </w:p>
    <w:p w14:paraId="3AC786D0" w14:textId="442C054F" w:rsidR="00D42293" w:rsidRDefault="00000000">
      <w:pPr>
        <w:spacing w:before="480" w:after="240" w:line="480" w:lineRule="exact"/>
        <w:jc w:val="center"/>
      </w:pPr>
      <w:r>
        <w:rPr>
          <w:rFonts w:ascii="Times New Roman" w:hAnsi="Times New Roman"/>
          <w:b/>
          <w:color w:val="003366"/>
          <w:sz w:val="36"/>
        </w:rPr>
        <w:t>Mangrove Carbon Intelligence Platform (MCIP):</w:t>
      </w:r>
      <w:r>
        <w:rPr>
          <w:rFonts w:ascii="Times New Roman" w:hAnsi="Times New Roman"/>
          <w:b/>
          <w:color w:val="003366"/>
          <w:sz w:val="36"/>
        </w:rPr>
        <w:br/>
      </w:r>
      <w:r>
        <w:rPr>
          <w:rFonts w:ascii="Times New Roman" w:hAnsi="Times New Roman"/>
          <w:b/>
          <w:color w:val="282828"/>
          <w:sz w:val="30"/>
        </w:rPr>
        <w:t>Automated Blue Carbon MRV Using Spatio-Temporal Graph Neural Networks</w:t>
      </w:r>
    </w:p>
    <w:p w14:paraId="42B261C8" w14:textId="77777777" w:rsidR="00C752E7" w:rsidRDefault="00C752E7" w:rsidP="00C752E7">
      <w:pPr>
        <w:jc w:val="center"/>
        <w:rPr>
          <w:rFonts w:ascii="Times New Roman" w:hAnsi="Times New Roman"/>
          <w:b/>
          <w:sz w:val="24"/>
        </w:rPr>
      </w:pPr>
    </w:p>
    <w:p w14:paraId="19F4B978" w14:textId="65F3528A" w:rsidR="00C752E7" w:rsidRDefault="00C752E7" w:rsidP="00C752E7">
      <w:pPr>
        <w:jc w:val="center"/>
      </w:pPr>
      <w:r>
        <w:rPr>
          <w:rFonts w:ascii="Times New Roman" w:hAnsi="Times New Roman"/>
          <w:b/>
          <w:sz w:val="24"/>
        </w:rPr>
        <w:t xml:space="preserve">Student Name: </w:t>
      </w:r>
      <w:r>
        <w:rPr>
          <w:rFonts w:ascii="Times New Roman" w:hAnsi="Times New Roman"/>
          <w:sz w:val="24"/>
        </w:rPr>
        <w:t>Narendra Gandikota</w:t>
      </w:r>
    </w:p>
    <w:p w14:paraId="5C7BF201" w14:textId="77777777" w:rsidR="00C752E7" w:rsidRDefault="00C752E7" w:rsidP="00C752E7">
      <w:pPr>
        <w:jc w:val="center"/>
        <w:rPr>
          <w:rFonts w:ascii="Times New Roman" w:hAnsi="Times New Roman"/>
          <w:sz w:val="24"/>
        </w:rPr>
      </w:pPr>
      <w:r>
        <w:rPr>
          <w:rFonts w:ascii="Times New Roman" w:hAnsi="Times New Roman"/>
          <w:b/>
          <w:sz w:val="24"/>
        </w:rPr>
        <w:t xml:space="preserve">Student ID: </w:t>
      </w:r>
      <w:r>
        <w:rPr>
          <w:rFonts w:ascii="Times New Roman" w:hAnsi="Times New Roman"/>
          <w:sz w:val="24"/>
        </w:rPr>
        <w:t>M01092206</w:t>
      </w:r>
    </w:p>
    <w:p w14:paraId="1A000029" w14:textId="77777777" w:rsidR="00C752E7" w:rsidRDefault="00C752E7" w:rsidP="00C752E7">
      <w:pPr>
        <w:spacing w:after="100"/>
        <w:jc w:val="center"/>
      </w:pPr>
      <w:r>
        <w:rPr>
          <w:rFonts w:ascii="Times New Roman" w:hAnsi="Times New Roman"/>
          <w:b/>
          <w:color w:val="000000"/>
          <w:sz w:val="24"/>
        </w:rPr>
        <w:t xml:space="preserve">Programme:  </w:t>
      </w:r>
      <w:r>
        <w:rPr>
          <w:rFonts w:ascii="Times New Roman" w:hAnsi="Times New Roman"/>
          <w:color w:val="000000"/>
          <w:sz w:val="24"/>
        </w:rPr>
        <w:t>MSc Data Science and Artificial Intelligence</w:t>
      </w:r>
    </w:p>
    <w:p w14:paraId="0D12D8AC" w14:textId="77777777" w:rsidR="00C752E7" w:rsidRDefault="00C752E7" w:rsidP="00C752E7">
      <w:pPr>
        <w:spacing w:after="100"/>
        <w:jc w:val="center"/>
      </w:pPr>
      <w:r>
        <w:rPr>
          <w:rFonts w:ascii="Times New Roman" w:hAnsi="Times New Roman"/>
          <w:b/>
          <w:color w:val="000000"/>
          <w:sz w:val="24"/>
        </w:rPr>
        <w:t xml:space="preserve">Module Code:  </w:t>
      </w:r>
      <w:r>
        <w:rPr>
          <w:rFonts w:ascii="Times New Roman" w:hAnsi="Times New Roman"/>
          <w:color w:val="000000"/>
          <w:sz w:val="24"/>
        </w:rPr>
        <w:t>CST4275 - Individual Project</w:t>
      </w:r>
    </w:p>
    <w:p w14:paraId="270F05AB" w14:textId="77777777" w:rsidR="00C752E7" w:rsidRDefault="00C752E7" w:rsidP="00C752E7">
      <w:pPr>
        <w:jc w:val="center"/>
      </w:pPr>
      <w:r>
        <w:rPr>
          <w:rFonts w:ascii="Times New Roman" w:hAnsi="Times New Roman"/>
          <w:b/>
          <w:sz w:val="24"/>
        </w:rPr>
        <w:t xml:space="preserve">Supervisor: </w:t>
      </w:r>
      <w:r>
        <w:rPr>
          <w:rFonts w:ascii="Times New Roman" w:hAnsi="Times New Roman"/>
          <w:sz w:val="24"/>
        </w:rPr>
        <w:t>Dr. Krishnadas Nanath</w:t>
      </w:r>
    </w:p>
    <w:p w14:paraId="06593A08" w14:textId="77777777" w:rsidR="00C752E7" w:rsidRDefault="00C752E7" w:rsidP="00C752E7">
      <w:pPr>
        <w:jc w:val="center"/>
      </w:pPr>
      <w:r>
        <w:rPr>
          <w:rFonts w:ascii="Times New Roman" w:hAnsi="Times New Roman"/>
          <w:b/>
          <w:sz w:val="24"/>
        </w:rPr>
        <w:t xml:space="preserve">Submission Date: </w:t>
      </w:r>
      <w:r>
        <w:rPr>
          <w:rFonts w:ascii="Times New Roman" w:hAnsi="Times New Roman"/>
        </w:rPr>
        <w:t>October 2026</w:t>
      </w:r>
    </w:p>
    <w:p w14:paraId="315C56AD" w14:textId="67D4783F" w:rsidR="00C752E7" w:rsidRDefault="00C752E7" w:rsidP="00C752E7">
      <w:r>
        <w:br w:type="page"/>
      </w:r>
    </w:p>
    <w:p w14:paraId="75CE869B" w14:textId="3E7609A2" w:rsidR="00C752E7" w:rsidRDefault="00C752E7"/>
    <w:p w14:paraId="5ACD3D23" w14:textId="77777777" w:rsidR="00D42293" w:rsidRDefault="00D42293"/>
    <w:p w14:paraId="5BB11113" w14:textId="77777777" w:rsidR="00D42293" w:rsidRDefault="00000000">
      <w:pPr>
        <w:keepNext/>
        <w:spacing w:before="360" w:after="240"/>
      </w:pPr>
      <w:r>
        <w:rPr>
          <w:rFonts w:ascii="Times New Roman" w:hAnsi="Times New Roman"/>
          <w:b/>
          <w:color w:val="003366"/>
          <w:sz w:val="32"/>
        </w:rPr>
        <w:t>Declaration of Authorship &amp; Ethical Compliance</w:t>
      </w:r>
    </w:p>
    <w:p w14:paraId="32E8DE65" w14:textId="77777777" w:rsidR="00D42293" w:rsidRDefault="00000000">
      <w:pPr>
        <w:spacing w:after="120" w:line="360" w:lineRule="exact"/>
        <w:jc w:val="both"/>
      </w:pPr>
      <w:r>
        <w:rPr>
          <w:rFonts w:ascii="Times New Roman" w:hAnsi="Times New Roman"/>
          <w:sz w:val="24"/>
        </w:rPr>
        <w:t>I, Narendra Gandikota (Student ID: M01092206), hereby declare that this Master's dissertation titled 'Mangrove Carbon Intelligence Platform (MCIP): Automated Blue Carbon MRV Using Spatio-Temporal Graph Neural Networks' is my own original work, conducted under the supervision of Dr. Krishnadas Nanath at Middlesex University Dubai. All sources of information, published literature, mathematical algorithms, software libraries, and data repositories utilised throughout this study have been comprehensively and explicitly acknowledged in accordance with the university's academic integrity guidelines and the Harvard Referencing standard.</w:t>
      </w:r>
    </w:p>
    <w:p w14:paraId="2AA89006" w14:textId="77777777" w:rsidR="00D42293" w:rsidRDefault="00000000">
      <w:pPr>
        <w:spacing w:after="120" w:line="360" w:lineRule="exact"/>
        <w:jc w:val="both"/>
      </w:pPr>
      <w:r>
        <w:rPr>
          <w:rFonts w:ascii="Times New Roman" w:hAnsi="Times New Roman"/>
          <w:sz w:val="24"/>
        </w:rPr>
        <w:t>I further confirm that this research adheres strictly to the research ethics regulations of Middlesex University Dubai. Ethical screening was formally conducted and classified as Low Risk, as the investigation relies entirely on publicly accessible secondary satellite observations (ESA Copernicus Sentinel-1 and Sentinel-2, and NASA GEDI LiDAR) with no human participants, animals, or sensitive personal data involved. No component of this dissertation has been submitted previously in substance or entirety for any other degree or professional qualification.</w:t>
      </w:r>
    </w:p>
    <w:p w14:paraId="1FAA0D06" w14:textId="77777777" w:rsidR="00D42293" w:rsidRDefault="00000000">
      <w:pPr>
        <w:spacing w:before="720" w:line="400" w:lineRule="exact"/>
      </w:pPr>
      <w:r>
        <w:rPr>
          <w:rFonts w:ascii="Times New Roman" w:hAnsi="Times New Roman"/>
          <w:b/>
        </w:rPr>
        <w:t xml:space="preserve">Candidate Signature: </w:t>
      </w:r>
      <w:r>
        <w:rPr>
          <w:rFonts w:ascii="Times New Roman" w:hAnsi="Times New Roman"/>
          <w:i/>
        </w:rPr>
        <w:t>Narendra Gandikota</w:t>
      </w:r>
      <w:r>
        <w:rPr>
          <w:rFonts w:ascii="Times New Roman" w:hAnsi="Times New Roman"/>
          <w:i/>
        </w:rPr>
        <w:br/>
      </w:r>
      <w:r>
        <w:rPr>
          <w:rFonts w:ascii="Times New Roman" w:hAnsi="Times New Roman"/>
          <w:b/>
        </w:rPr>
        <w:t xml:space="preserve">Date: </w:t>
      </w:r>
      <w:r>
        <w:rPr>
          <w:rFonts w:ascii="Times New Roman" w:hAnsi="Times New Roman"/>
        </w:rPr>
        <w:t>1 October 2026</w:t>
      </w:r>
    </w:p>
    <w:p w14:paraId="59C266A9" w14:textId="77777777" w:rsidR="00D42293" w:rsidRDefault="00000000">
      <w:r>
        <w:br w:type="page"/>
      </w:r>
    </w:p>
    <w:p w14:paraId="11E9462D" w14:textId="77777777" w:rsidR="00D42293" w:rsidRDefault="00000000">
      <w:pPr>
        <w:keepNext/>
        <w:spacing w:before="360" w:after="240"/>
      </w:pPr>
      <w:r>
        <w:rPr>
          <w:rFonts w:ascii="Times New Roman" w:hAnsi="Times New Roman"/>
          <w:b/>
          <w:color w:val="003366"/>
          <w:sz w:val="32"/>
        </w:rPr>
        <w:lastRenderedPageBreak/>
        <w:t>Acknowledgements</w:t>
      </w:r>
    </w:p>
    <w:p w14:paraId="3D35EB96" w14:textId="77777777" w:rsidR="00D42293" w:rsidRDefault="00000000">
      <w:pPr>
        <w:spacing w:after="120" w:line="360" w:lineRule="exact"/>
        <w:jc w:val="both"/>
      </w:pPr>
      <w:r>
        <w:rPr>
          <w:rFonts w:ascii="Times New Roman" w:hAnsi="Times New Roman"/>
          <w:sz w:val="24"/>
        </w:rPr>
        <w:t>I express my profound and sincere gratitude to my academic supervisor, Dr. Krishnadas Nanath, for his invaluable mentorship, rigorous intellectual guidance, and constructive critiques throughout the lifecycle of this Master's thesis. His insightful advice on distinguishing machine learning model predictions from deep, critical human discussions has fundamentally elevated the academic quality and scientific rigor of this dissertation.</w:t>
      </w:r>
    </w:p>
    <w:p w14:paraId="589BBF05" w14:textId="77777777" w:rsidR="00D42293" w:rsidRDefault="00000000">
      <w:pPr>
        <w:spacing w:after="120" w:line="360" w:lineRule="exact"/>
        <w:jc w:val="both"/>
      </w:pPr>
      <w:r>
        <w:rPr>
          <w:rFonts w:ascii="Times New Roman" w:hAnsi="Times New Roman"/>
          <w:sz w:val="24"/>
        </w:rPr>
        <w:t>I also extend my sincere appreciation to the faculty and administration of the School of Science and Technology at Middlesex University Dubai for providing an intellectually stimulating environment and cutting-edge research facilities. Special recognition is extended to the European Space Agency (ESA) Copernicus Programme, the Google Earth Engine developer community, and NASA's Earth Science Data Systems for granting open access to the high-resolution multi-spectral, SAR, and spaceborne LiDAR datasets that made this geospatial research possible.</w:t>
      </w:r>
    </w:p>
    <w:p w14:paraId="69FC0160" w14:textId="77777777" w:rsidR="00D42293" w:rsidRDefault="00000000">
      <w:pPr>
        <w:spacing w:after="120" w:line="360" w:lineRule="exact"/>
        <w:jc w:val="both"/>
      </w:pPr>
      <w:r>
        <w:rPr>
          <w:rFonts w:ascii="Times New Roman" w:hAnsi="Times New Roman"/>
          <w:sz w:val="24"/>
        </w:rPr>
        <w:t>Finally, I am eternally indebted to my family and peers for their unwavering patience, encouragement, and understanding during the extensive computational experiments and platform development phases that brought this project from an initial concept to a fully realised enterprise-grade research artefact and product.</w:t>
      </w:r>
    </w:p>
    <w:p w14:paraId="03CDA28F" w14:textId="77777777" w:rsidR="00D42293" w:rsidRDefault="00000000">
      <w:r>
        <w:br w:type="page"/>
      </w:r>
    </w:p>
    <w:p w14:paraId="3C8ACAA5" w14:textId="15E9C07C" w:rsidR="00D42293" w:rsidRPr="00C7094A" w:rsidRDefault="00000000" w:rsidP="00C7094A">
      <w:pPr>
        <w:keepNext/>
        <w:spacing w:before="360" w:after="240"/>
      </w:pPr>
      <w:r>
        <w:rPr>
          <w:rFonts w:ascii="Times New Roman" w:hAnsi="Times New Roman"/>
          <w:b/>
          <w:color w:val="003366"/>
          <w:sz w:val="32"/>
        </w:rPr>
        <w:lastRenderedPageBreak/>
        <w:t>Abstract</w:t>
      </w:r>
    </w:p>
    <w:p w14:paraId="5EFF9B66" w14:textId="6537A647" w:rsidR="00C7094A" w:rsidRPr="00C7094A" w:rsidRDefault="00C7094A" w:rsidP="00C7094A">
      <w:pPr>
        <w:spacing w:after="120" w:line="360" w:lineRule="exact"/>
        <w:jc w:val="both"/>
        <w:rPr>
          <w:rFonts w:ascii="Times New Roman" w:hAnsi="Times New Roman"/>
          <w:sz w:val="24"/>
        </w:rPr>
      </w:pPr>
      <w:r w:rsidRPr="00C7094A">
        <w:rPr>
          <w:rFonts w:ascii="Times New Roman" w:hAnsi="Times New Roman"/>
          <w:sz w:val="24"/>
        </w:rPr>
        <w:t xml:space="preserve">Coastal mangrove ecosystems are the world's most carbon-dense biomes, sequestering up to five times more atmospheric carbon than terrestrial rainforests. Pursuant to the Paris Agreement and national climate mandates such as the UAE's COP28 pledge to plant 100 million mangroves by 2030, blue carbon has ascended as a keystone of sovereign decarbonisation. However, international carbon credit certification (e.g., Verra VM0033) faces a severe operational bottleneck in establishing a scalable blue carbon verification value chain due to the high-cost, inherently destructive nature of isotopic sediment coring ($150,000-$350,000 per audit) in </w:t>
      </w:r>
      <w:r w:rsidR="00CD3C68" w:rsidRPr="00C7094A">
        <w:rPr>
          <w:rFonts w:ascii="Times New Roman" w:hAnsi="Times New Roman"/>
          <w:sz w:val="24"/>
        </w:rPr>
        <w:t>describing</w:t>
      </w:r>
      <w:r w:rsidRPr="00C7094A">
        <w:rPr>
          <w:rFonts w:ascii="Times New Roman" w:hAnsi="Times New Roman"/>
          <w:sz w:val="24"/>
        </w:rPr>
        <w:t xml:space="preserve"> allochthonous vs. autochthonous carbon pools.</w:t>
      </w:r>
    </w:p>
    <w:p w14:paraId="0EF99184" w14:textId="330556C7" w:rsidR="00C7094A" w:rsidRPr="00C7094A" w:rsidRDefault="00C7094A" w:rsidP="00C7094A">
      <w:pPr>
        <w:spacing w:after="120" w:line="360" w:lineRule="exact"/>
        <w:jc w:val="both"/>
        <w:rPr>
          <w:rFonts w:ascii="Times New Roman" w:hAnsi="Times New Roman"/>
          <w:sz w:val="24"/>
        </w:rPr>
      </w:pPr>
      <w:r w:rsidRPr="00C7094A">
        <w:rPr>
          <w:rFonts w:ascii="Times New Roman" w:hAnsi="Times New Roman"/>
          <w:sz w:val="24"/>
        </w:rPr>
        <w:t xml:space="preserve">To resolve this verification </w:t>
      </w:r>
      <w:r w:rsidR="00CD3C68" w:rsidRPr="00C7094A">
        <w:rPr>
          <w:rFonts w:ascii="Times New Roman" w:hAnsi="Times New Roman"/>
          <w:sz w:val="24"/>
        </w:rPr>
        <w:t>problem</w:t>
      </w:r>
      <w:r w:rsidRPr="00C7094A">
        <w:rPr>
          <w:rFonts w:ascii="Times New Roman" w:hAnsi="Times New Roman"/>
          <w:sz w:val="24"/>
        </w:rPr>
        <w:t>, this dissertation introduces the Mangrove Carbon Intelligence Platform (MCIP), an autonomous, digital blue carbon MRV platform that transitions from an academic research project to an enterprise-grade software product to address the carbon credit verification value chain. Ingesting 6</w:t>
      </w:r>
      <w:r w:rsidR="00CD3C68">
        <w:rPr>
          <w:rFonts w:ascii="Times New Roman" w:hAnsi="Times New Roman"/>
          <w:sz w:val="24"/>
        </w:rPr>
        <w:t>8</w:t>
      </w:r>
      <w:r w:rsidRPr="00C7094A">
        <w:rPr>
          <w:rFonts w:ascii="Times New Roman" w:hAnsi="Times New Roman"/>
          <w:sz w:val="24"/>
        </w:rPr>
        <w:t xml:space="preserve"> consecutive months of satellite backscatter and optical imagery, MCIP applies a deep Artificial Neural Network to classify mangrove pixels with 99.95% accuracy and an optimal validation loss of 0.00073. To address the limitations of spaceborne LiDAR, a multi-target neural imputation engine, pre-trained with dense equatorial GEDI footprints from the Sundarbans forest in Bangladesh, reconstructs eight 3D canopy structural metrics with a maximum canopy height (rh100) validation mean squared error of 9.81. Grouping 3,230 verified coordinates into 53 ecological patches using DBSCAN, directed topological graph edges (86 edges) capture hydrodynamic tidal transport processes. An autoregressive Spatio-Temporal Graph Neural Network models monthly sequestration with a test root mean squared error of 0.0874 tCO2e/ha and an R-squared of 0.912, outperforming non-relational Random Forest by 64% while isolating allochthonous sediment flux computation in coastal mangrove ecosystems.</w:t>
      </w:r>
    </w:p>
    <w:p w14:paraId="56EBD942" w14:textId="0BF7710B" w:rsidR="00C7094A" w:rsidRDefault="00C7094A" w:rsidP="00C7094A">
      <w:pPr>
        <w:spacing w:after="120" w:line="360" w:lineRule="exact"/>
        <w:jc w:val="both"/>
      </w:pPr>
      <w:r w:rsidRPr="00C7094A">
        <w:rPr>
          <w:rFonts w:ascii="Times New Roman" w:hAnsi="Times New Roman"/>
          <w:sz w:val="24"/>
        </w:rPr>
        <w:t xml:space="preserve">Coupled with an Explainable AI auditing assistant powered by Google Genkit and Gemini 2.5 Flash and deployed as a full-stack Next.js 15 enterprise platform, the MCIP MRV platform slashes auditing expenditures by over 70% while reducing verification cycles from 12 months to one </w:t>
      </w:r>
      <w:r w:rsidR="001C2827">
        <w:rPr>
          <w:rFonts w:ascii="Times New Roman" w:hAnsi="Times New Roman"/>
          <w:sz w:val="24"/>
        </w:rPr>
        <w:t>month or even less</w:t>
      </w:r>
      <w:r w:rsidRPr="00C7094A">
        <w:rPr>
          <w:rFonts w:ascii="Times New Roman" w:hAnsi="Times New Roman"/>
          <w:sz w:val="24"/>
        </w:rPr>
        <w:t>, providing an auditor-ready blueprint that enables coastal nations to save money, generate sovereign carbon wealth, and conserve critical marine ecosystems.</w:t>
      </w:r>
    </w:p>
    <w:p w14:paraId="338CF6AE" w14:textId="77777777" w:rsidR="00D42293" w:rsidRDefault="00000000">
      <w:pPr>
        <w:spacing w:before="240" w:after="80"/>
      </w:pPr>
      <w:r>
        <w:rPr>
          <w:rFonts w:ascii="Times New Roman" w:hAnsi="Times New Roman"/>
          <w:b/>
          <w:color w:val="003366"/>
          <w:sz w:val="20"/>
        </w:rPr>
        <w:t xml:space="preserve">Keywords: </w:t>
      </w:r>
      <w:r>
        <w:rPr>
          <w:rFonts w:ascii="Times New Roman" w:hAnsi="Times New Roman"/>
          <w:i/>
          <w:sz w:val="20"/>
        </w:rPr>
        <w:t>Blue Carbon MRV, Spatio-Temporal Graph Neural Networks (ST-GNN), NASA GEDI LiDAR, Sentinel-1/2 Telemetry, Transfer Learning, Explainable AI (XAI), Verra VM0033, Next.js 15.</w:t>
      </w:r>
    </w:p>
    <w:p w14:paraId="41E049C7" w14:textId="77777777" w:rsidR="00D42293" w:rsidRDefault="00000000">
      <w:r>
        <w:br w:type="page"/>
      </w:r>
    </w:p>
    <w:p w14:paraId="547B2598" w14:textId="77777777" w:rsidR="00D42293" w:rsidRDefault="00000000">
      <w:pPr>
        <w:keepNext/>
        <w:spacing w:before="360" w:after="240"/>
      </w:pPr>
      <w:r>
        <w:rPr>
          <w:rFonts w:ascii="Times New Roman" w:hAnsi="Times New Roman"/>
          <w:b/>
          <w:color w:val="003366"/>
          <w:sz w:val="32"/>
        </w:rPr>
        <w:lastRenderedPageBreak/>
        <w:t>Table of Contents</w:t>
      </w:r>
    </w:p>
    <w:p w14:paraId="135E0AF1" w14:textId="1EF24D35" w:rsidR="00D42293" w:rsidRDefault="00000000">
      <w:pPr>
        <w:spacing w:before="20" w:after="40" w:line="320" w:lineRule="exact"/>
      </w:pPr>
      <w:r>
        <w:rPr>
          <w:rFonts w:ascii="Times New Roman" w:hAnsi="Times New Roman"/>
        </w:rPr>
        <w:t>Declaration of Authorship &amp; Ethical Compliance</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ii</w:t>
      </w:r>
    </w:p>
    <w:p w14:paraId="19D68769" w14:textId="3CFF0868" w:rsidR="00D42293" w:rsidRDefault="00000000">
      <w:pPr>
        <w:spacing w:before="20" w:after="40" w:line="320" w:lineRule="exact"/>
      </w:pPr>
      <w:r>
        <w:rPr>
          <w:rFonts w:ascii="Times New Roman" w:hAnsi="Times New Roman"/>
        </w:rPr>
        <w:t>Acknowledgements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iii</w:t>
      </w:r>
    </w:p>
    <w:p w14:paraId="5615820A" w14:textId="608081C3" w:rsidR="00D42293" w:rsidRDefault="00000000">
      <w:pPr>
        <w:spacing w:before="20" w:after="40" w:line="320" w:lineRule="exact"/>
      </w:pPr>
      <w:r>
        <w:rPr>
          <w:rFonts w:ascii="Times New Roman" w:hAnsi="Times New Roman"/>
        </w:rPr>
        <w:t>Abstract</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iv</w:t>
      </w:r>
    </w:p>
    <w:p w14:paraId="122A8AA2" w14:textId="36FE9AAC" w:rsidR="00D42293" w:rsidRDefault="00000000">
      <w:pPr>
        <w:spacing w:before="20" w:after="40" w:line="320" w:lineRule="exact"/>
      </w:pPr>
      <w:r>
        <w:rPr>
          <w:rFonts w:ascii="Times New Roman" w:hAnsi="Times New Roman"/>
        </w:rPr>
        <w:t>List of Figures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vii</w:t>
      </w:r>
    </w:p>
    <w:p w14:paraId="051529E5" w14:textId="505A8C33" w:rsidR="00D42293" w:rsidRDefault="00000000">
      <w:pPr>
        <w:spacing w:before="20" w:after="40" w:line="320" w:lineRule="exact"/>
      </w:pPr>
      <w:r>
        <w:rPr>
          <w:rFonts w:ascii="Times New Roman" w:hAnsi="Times New Roman"/>
        </w:rPr>
        <w:t>List of Tables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ix</w:t>
      </w:r>
    </w:p>
    <w:p w14:paraId="17F4DCC8" w14:textId="27E8B54E" w:rsidR="00D42293" w:rsidRDefault="00000000">
      <w:pPr>
        <w:spacing w:before="20" w:after="40" w:line="320" w:lineRule="exact"/>
      </w:pPr>
      <w:r>
        <w:rPr>
          <w:rFonts w:ascii="Times New Roman" w:hAnsi="Times New Roman"/>
          <w:b/>
        </w:rPr>
        <w:t>1. Introduction</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w:t>
      </w:r>
    </w:p>
    <w:p w14:paraId="27C6AD0A" w14:textId="7E3B8DB0" w:rsidR="00D42293" w:rsidRDefault="00000000">
      <w:pPr>
        <w:spacing w:before="20" w:after="40" w:line="320" w:lineRule="exact"/>
      </w:pPr>
      <w:r>
        <w:rPr>
          <w:rFonts w:ascii="Times New Roman" w:hAnsi="Times New Roman"/>
        </w:rPr>
        <w:t xml:space="preserve">   1.1 Context and Background: Blue Carbon, Global Warming, and UAE Climate Mandates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w:t>
      </w:r>
    </w:p>
    <w:p w14:paraId="0BE91DF2" w14:textId="11C07EF4" w:rsidR="00D42293" w:rsidRDefault="00000000">
      <w:pPr>
        <w:spacing w:before="20" w:after="40" w:line="320" w:lineRule="exact"/>
      </w:pPr>
      <w:r>
        <w:rPr>
          <w:rFonts w:ascii="Times New Roman" w:hAnsi="Times New Roman"/>
        </w:rPr>
        <w:t xml:space="preserve">   1.2 The Problem Statement: The Blue Carbon MRV Bottleneck</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w:t>
      </w:r>
    </w:p>
    <w:p w14:paraId="092E8111" w14:textId="48DB5FAC" w:rsidR="00D42293" w:rsidRDefault="00000000">
      <w:pPr>
        <w:spacing w:before="20" w:after="40" w:line="320" w:lineRule="exact"/>
      </w:pPr>
      <w:r>
        <w:rPr>
          <w:rFonts w:ascii="Times New Roman" w:hAnsi="Times New Roman"/>
        </w:rPr>
        <w:t xml:space="preserve">   1.3 Research Aim and Objectives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5</w:t>
      </w:r>
    </w:p>
    <w:p w14:paraId="581A2CD6" w14:textId="3B3F0F9F" w:rsidR="00D42293" w:rsidRDefault="00000000">
      <w:pPr>
        <w:spacing w:before="20" w:after="40" w:line="320" w:lineRule="exact"/>
      </w:pPr>
      <w:r>
        <w:rPr>
          <w:rFonts w:ascii="Times New Roman" w:hAnsi="Times New Roman"/>
        </w:rPr>
        <w:t xml:space="preserve">   1.4 Research Questions and Hypotheses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w:t>
      </w:r>
    </w:p>
    <w:p w14:paraId="7F36E867" w14:textId="04A91646" w:rsidR="00D42293" w:rsidRDefault="00000000">
      <w:pPr>
        <w:spacing w:before="20" w:after="40" w:line="320" w:lineRule="exact"/>
      </w:pPr>
      <w:r>
        <w:rPr>
          <w:rFonts w:ascii="Times New Roman" w:hAnsi="Times New Roman"/>
        </w:rPr>
        <w:t xml:space="preserve">   1.5 Significance of the Research: From Idea to Global Product</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w:t>
      </w:r>
    </w:p>
    <w:p w14:paraId="787EAF60" w14:textId="3C0FEBE0" w:rsidR="00D42293" w:rsidRDefault="00000000">
      <w:pPr>
        <w:spacing w:before="20" w:after="40" w:line="320" w:lineRule="exact"/>
      </w:pPr>
      <w:r>
        <w:rPr>
          <w:rFonts w:ascii="Times New Roman" w:hAnsi="Times New Roman"/>
        </w:rPr>
        <w:t xml:space="preserve">   1.6 Dissertation Structure and Work Packages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9</w:t>
      </w:r>
    </w:p>
    <w:p w14:paraId="2F1AEEBC" w14:textId="5B7EE18E" w:rsidR="00D42293" w:rsidRDefault="00000000">
      <w:pPr>
        <w:spacing w:before="20" w:after="40" w:line="320" w:lineRule="exact"/>
      </w:pPr>
      <w:r>
        <w:rPr>
          <w:rFonts w:ascii="Times New Roman" w:hAnsi="Times New Roman"/>
          <w:b/>
        </w:rPr>
        <w:t>2. Literature Review</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w:t>
      </w:r>
    </w:p>
    <w:p w14:paraId="37457BB0" w14:textId="3EA89E6D" w:rsidR="00D42293" w:rsidRDefault="00000000">
      <w:pPr>
        <w:spacing w:before="20" w:after="40" w:line="320" w:lineRule="exact"/>
      </w:pPr>
      <w:r>
        <w:rPr>
          <w:rFonts w:ascii="Times New Roman" w:hAnsi="Times New Roman"/>
        </w:rPr>
        <w:t xml:space="preserve">   2.1 Introduction and Review Methodology</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w:t>
      </w:r>
    </w:p>
    <w:p w14:paraId="7FA6DD29" w14:textId="7ED7D2BB" w:rsidR="00D42293" w:rsidRDefault="00000000">
      <w:pPr>
        <w:spacing w:before="20" w:after="40" w:line="320" w:lineRule="exact"/>
      </w:pPr>
      <w:r>
        <w:rPr>
          <w:rFonts w:ascii="Times New Roman" w:hAnsi="Times New Roman"/>
        </w:rPr>
        <w:t xml:space="preserve">   2.2 Chronological Evolution of Remote Sensing in Mangrove Biomass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12</w:t>
      </w:r>
    </w:p>
    <w:p w14:paraId="3F7F6003" w14:textId="0B86A6EB" w:rsidR="00D42293" w:rsidRDefault="00000000">
      <w:pPr>
        <w:spacing w:before="20" w:after="40" w:line="320" w:lineRule="exact"/>
      </w:pPr>
      <w:r>
        <w:rPr>
          <w:rFonts w:ascii="Times New Roman" w:hAnsi="Times New Roman"/>
        </w:rPr>
        <w:t xml:space="preserve">   2.3 Typology of Publications in the Literature Database</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15</w:t>
      </w:r>
    </w:p>
    <w:p w14:paraId="14931F25" w14:textId="6984CDA6" w:rsidR="00D42293" w:rsidRDefault="00000000">
      <w:pPr>
        <w:spacing w:before="20" w:after="40" w:line="320" w:lineRule="exact"/>
      </w:pPr>
      <w:r>
        <w:rPr>
          <w:rFonts w:ascii="Times New Roman" w:hAnsi="Times New Roman"/>
        </w:rPr>
        <w:t xml:space="preserve">   2.4 Core Thematic Review</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16</w:t>
      </w:r>
    </w:p>
    <w:p w14:paraId="6B1E8FED" w14:textId="2B2ECBBA" w:rsidR="00D42293" w:rsidRDefault="00000000">
      <w:pPr>
        <w:spacing w:before="20" w:after="40" w:line="320" w:lineRule="exact"/>
      </w:pPr>
      <w:r>
        <w:rPr>
          <w:rFonts w:ascii="Times New Roman" w:hAnsi="Times New Roman"/>
        </w:rPr>
        <w:t xml:space="preserve">       2.4.1 Remote Sensing for Mangrove Biomass Estimation</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16</w:t>
      </w:r>
    </w:p>
    <w:p w14:paraId="0E846DDD" w14:textId="38BE7780" w:rsidR="00D42293" w:rsidRDefault="00000000">
      <w:pPr>
        <w:spacing w:before="20" w:after="40" w:line="320" w:lineRule="exact"/>
      </w:pPr>
      <w:r>
        <w:rPr>
          <w:rFonts w:ascii="Times New Roman" w:hAnsi="Times New Roman"/>
        </w:rPr>
        <w:t xml:space="preserve">       2.4.2 Spaceborne LiDAR and Neural Imputation</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19</w:t>
      </w:r>
    </w:p>
    <w:p w14:paraId="09776705" w14:textId="474E9F9C" w:rsidR="00D42293" w:rsidRDefault="00000000">
      <w:pPr>
        <w:spacing w:before="20" w:after="40" w:line="320" w:lineRule="exact"/>
      </w:pPr>
      <w:r>
        <w:rPr>
          <w:rFonts w:ascii="Times New Roman" w:hAnsi="Times New Roman"/>
        </w:rPr>
        <w:t xml:space="preserve">       2.4.3 Graph Neural Networks for Environmental Modeling</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22</w:t>
      </w:r>
    </w:p>
    <w:p w14:paraId="44B7D2FA" w14:textId="4CA58481" w:rsidR="00D42293" w:rsidRDefault="00000000">
      <w:pPr>
        <w:spacing w:before="20" w:after="40" w:line="320" w:lineRule="exact"/>
      </w:pPr>
      <w:r>
        <w:rPr>
          <w:rFonts w:ascii="Times New Roman" w:hAnsi="Times New Roman"/>
        </w:rPr>
        <w:t xml:space="preserve">       2.4.4 Blue Carbon MRV Frameworks and International Standards</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25</w:t>
      </w:r>
    </w:p>
    <w:p w14:paraId="5B25A872" w14:textId="38267E20" w:rsidR="00D42293" w:rsidRDefault="00000000">
      <w:pPr>
        <w:spacing w:before="20" w:after="40" w:line="320" w:lineRule="exact"/>
      </w:pPr>
      <w:r>
        <w:rPr>
          <w:rFonts w:ascii="Times New Roman" w:hAnsi="Times New Roman"/>
        </w:rPr>
        <w:t xml:space="preserve">       2.4.5 Explainable AI (XAI) for Regulatory Auditability</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28</w:t>
      </w:r>
    </w:p>
    <w:p w14:paraId="4EBBFF45" w14:textId="6B1F08DA" w:rsidR="00D42293" w:rsidRDefault="00000000">
      <w:pPr>
        <w:spacing w:before="20" w:after="40" w:line="320" w:lineRule="exact"/>
      </w:pPr>
      <w:r>
        <w:rPr>
          <w:rFonts w:ascii="Times New Roman" w:hAnsi="Times New Roman"/>
        </w:rPr>
        <w:t xml:space="preserve">   2.5 Synthesis, Critical Gap Analysis, and Chapter Summary</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30</w:t>
      </w:r>
    </w:p>
    <w:p w14:paraId="1D3CDC73" w14:textId="3A68738D" w:rsidR="00D42293" w:rsidRDefault="00000000">
      <w:pPr>
        <w:spacing w:before="20" w:after="40" w:line="320" w:lineRule="exact"/>
      </w:pPr>
      <w:r>
        <w:rPr>
          <w:rFonts w:ascii="Times New Roman" w:hAnsi="Times New Roman"/>
          <w:b/>
        </w:rPr>
        <w:t>3. Research Methodology &amp; Engineering Design</w:t>
      </w:r>
      <w:r>
        <w:rPr>
          <w:rFonts w:ascii="Times New Roman" w:hAnsi="Times New Roman"/>
          <w:color w:val="969696"/>
          <w:sz w:val="20"/>
        </w:rPr>
        <w:t xml:space="preserve"> .....</w:t>
      </w:r>
      <w:r w:rsidR="001705E3">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33</w:t>
      </w:r>
    </w:p>
    <w:p w14:paraId="42E1EE36" w14:textId="597A1835" w:rsidR="00D42293" w:rsidRDefault="00000000">
      <w:pPr>
        <w:spacing w:before="20" w:after="40" w:line="320" w:lineRule="exact"/>
      </w:pPr>
      <w:r>
        <w:rPr>
          <w:rFonts w:ascii="Times New Roman" w:hAnsi="Times New Roman"/>
        </w:rPr>
        <w:t xml:space="preserve">   3.1 Research Philosophy and Design Science Research Paradigm</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33</w:t>
      </w:r>
    </w:p>
    <w:p w14:paraId="707C5D90" w14:textId="718B3AD0" w:rsidR="00D42293" w:rsidRDefault="00000000">
      <w:pPr>
        <w:spacing w:before="20" w:after="40" w:line="320" w:lineRule="exact"/>
      </w:pPr>
      <w:r>
        <w:rPr>
          <w:rFonts w:ascii="Times New Roman" w:hAnsi="Times New Roman"/>
        </w:rPr>
        <w:t xml:space="preserve">   3.2 Multi-Source Satellite Telemetry and Ingestion Architecture</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35</w:t>
      </w:r>
    </w:p>
    <w:p w14:paraId="6E1E563F" w14:textId="03C1B8AA" w:rsidR="00D42293" w:rsidRDefault="00000000">
      <w:pPr>
        <w:spacing w:before="20" w:after="40" w:line="320" w:lineRule="exact"/>
      </w:pPr>
      <w:r>
        <w:rPr>
          <w:rFonts w:ascii="Times New Roman" w:hAnsi="Times New Roman"/>
        </w:rPr>
        <w:t xml:space="preserve">   3.3 Stage 0: Data Engineering, Coordinate Sampling, and Cloud Masking</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37</w:t>
      </w:r>
    </w:p>
    <w:p w14:paraId="1CDF8F52" w14:textId="58FF730E" w:rsidR="00D42293" w:rsidRDefault="00000000">
      <w:pPr>
        <w:spacing w:before="20" w:after="40" w:line="320" w:lineRule="exact"/>
      </w:pPr>
      <w:r>
        <w:rPr>
          <w:rFonts w:ascii="Times New Roman" w:hAnsi="Times New Roman"/>
        </w:rPr>
        <w:t xml:space="preserve">   3.4 Stage 1: Deep ANN Mangrove Pixel Classification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44</w:t>
      </w:r>
    </w:p>
    <w:p w14:paraId="478A0DF0" w14:textId="08A3CEFD" w:rsidR="00D42293" w:rsidRDefault="00000000">
      <w:pPr>
        <w:spacing w:before="20" w:after="40" w:line="320" w:lineRule="exact"/>
      </w:pPr>
      <w:r>
        <w:rPr>
          <w:rFonts w:ascii="Times New Roman" w:hAnsi="Times New Roman"/>
        </w:rPr>
        <w:t xml:space="preserve">   3.5 Stage 2 &amp; 3: NASA GEDI Neural Imputation via Transfer Learning</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49</w:t>
      </w:r>
    </w:p>
    <w:p w14:paraId="16457F2A" w14:textId="2CD7BCAE" w:rsidR="00D42293" w:rsidRDefault="00000000">
      <w:pPr>
        <w:spacing w:before="20" w:after="40" w:line="320" w:lineRule="exact"/>
      </w:pPr>
      <w:r>
        <w:rPr>
          <w:rFonts w:ascii="Times New Roman" w:hAnsi="Times New Roman"/>
        </w:rPr>
        <w:t xml:space="preserve">   3.6 Stage 3: DBSCAN Clustering &amp; Spatio-Temporal Graph Modeling</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55</w:t>
      </w:r>
    </w:p>
    <w:p w14:paraId="032C32F9" w14:textId="2FB97EFB" w:rsidR="00D42293" w:rsidRDefault="00000000">
      <w:pPr>
        <w:spacing w:before="20" w:after="40" w:line="320" w:lineRule="exact"/>
      </w:pPr>
      <w:r>
        <w:rPr>
          <w:rFonts w:ascii="Times New Roman" w:hAnsi="Times New Roman"/>
        </w:rPr>
        <w:t xml:space="preserve">   3.7 Carbon Accounting Engine and Mangrove Health Score (MHS)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61</w:t>
      </w:r>
    </w:p>
    <w:p w14:paraId="51AC1D39" w14:textId="3A175AFD" w:rsidR="00D42293" w:rsidRDefault="00000000">
      <w:pPr>
        <w:spacing w:before="20" w:after="40" w:line="320" w:lineRule="exact"/>
      </w:pPr>
      <w:r>
        <w:rPr>
          <w:rFonts w:ascii="Times New Roman" w:hAnsi="Times New Roman"/>
        </w:rPr>
        <w:t xml:space="preserve">   3.8 Ethical Governance, Reproducibility, and Open Data Protocols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63</w:t>
      </w:r>
    </w:p>
    <w:p w14:paraId="52E9F856" w14:textId="31BEF951" w:rsidR="00D42293" w:rsidRDefault="00000000">
      <w:pPr>
        <w:spacing w:before="20" w:after="40" w:line="320" w:lineRule="exact"/>
      </w:pPr>
      <w:r>
        <w:rPr>
          <w:rFonts w:ascii="Times New Roman" w:hAnsi="Times New Roman"/>
          <w:b/>
        </w:rPr>
        <w:t>4. System Architecture &amp; Platform Engineering</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65</w:t>
      </w:r>
    </w:p>
    <w:p w14:paraId="74E8E9E9" w14:textId="2A6EE5A0" w:rsidR="00D42293" w:rsidRDefault="00000000">
      <w:pPr>
        <w:spacing w:before="20" w:after="40" w:line="320" w:lineRule="exact"/>
      </w:pPr>
      <w:r>
        <w:rPr>
          <w:rFonts w:ascii="Times New Roman" w:hAnsi="Times New Roman"/>
        </w:rPr>
        <w:t xml:space="preserve">   4.1 Enterprise Web Application Architecture (Next.js 15 &amp; React 19)</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65</w:t>
      </w:r>
    </w:p>
    <w:p w14:paraId="2662745A" w14:textId="308F1716" w:rsidR="00D42293" w:rsidRDefault="00000000">
      <w:pPr>
        <w:spacing w:before="20" w:after="40" w:line="320" w:lineRule="exact"/>
      </w:pPr>
      <w:r>
        <w:rPr>
          <w:rFonts w:ascii="Times New Roman" w:hAnsi="Times New Roman"/>
        </w:rPr>
        <w:lastRenderedPageBreak/>
        <w:t xml:space="preserve">   4.2 Cloud Infrastructure &amp; Firebase Firestore Schema</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67</w:t>
      </w:r>
    </w:p>
    <w:p w14:paraId="2A1658F8" w14:textId="7BB28FEB" w:rsidR="00D42293" w:rsidRDefault="00000000">
      <w:pPr>
        <w:spacing w:before="20" w:after="40" w:line="320" w:lineRule="exact"/>
      </w:pPr>
      <w:r>
        <w:rPr>
          <w:rFonts w:ascii="Times New Roman" w:hAnsi="Times New Roman"/>
        </w:rPr>
        <w:t xml:space="preserve">   4.3 Real-Time Interactive Web Dashboard</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70</w:t>
      </w:r>
    </w:p>
    <w:p w14:paraId="365FE561" w14:textId="43195DD6" w:rsidR="00D42293" w:rsidRDefault="00000000">
      <w:pPr>
        <w:spacing w:before="20" w:after="40" w:line="320" w:lineRule="exact"/>
      </w:pPr>
      <w:r>
        <w:rPr>
          <w:rFonts w:ascii="Times New Roman" w:hAnsi="Times New Roman"/>
        </w:rPr>
        <w:t xml:space="preserve">   4.4 Geospatial Coastal Mapping and Patch Exploration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73</w:t>
      </w:r>
    </w:p>
    <w:p w14:paraId="17EF986D" w14:textId="4362DBEE" w:rsidR="00D42293" w:rsidRDefault="00000000">
      <w:pPr>
        <w:spacing w:before="20" w:after="40" w:line="320" w:lineRule="exact"/>
      </w:pPr>
      <w:r>
        <w:rPr>
          <w:rFonts w:ascii="Times New Roman" w:hAnsi="Times New Roman"/>
        </w:rPr>
        <w:t xml:space="preserve">   4.5 Carbon Analytics Engine and Temporal Trend Modeling</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75</w:t>
      </w:r>
    </w:p>
    <w:p w14:paraId="5DB74D6F" w14:textId="39C04146" w:rsidR="00D42293" w:rsidRDefault="00000000">
      <w:pPr>
        <w:spacing w:before="20" w:after="40" w:line="320" w:lineRule="exact"/>
      </w:pPr>
      <w:r>
        <w:rPr>
          <w:rFonts w:ascii="Times New Roman" w:hAnsi="Times New Roman"/>
        </w:rPr>
        <w:t xml:space="preserve">   4.6 Dual Alert Engine: Anomaly Detection &amp; Threat Prediction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77</w:t>
      </w:r>
    </w:p>
    <w:p w14:paraId="5C22923C" w14:textId="50E06C5B" w:rsidR="00D42293" w:rsidRDefault="00000000">
      <w:pPr>
        <w:spacing w:before="20" w:after="40" w:line="320" w:lineRule="exact"/>
      </w:pPr>
      <w:r>
        <w:rPr>
          <w:rFonts w:ascii="Times New Roman" w:hAnsi="Times New Roman"/>
        </w:rPr>
        <w:t xml:space="preserve">   4.7 Explainable AI (XAI) Engine &amp; Gemini 2.5 Flash Auditing Suite</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80</w:t>
      </w:r>
    </w:p>
    <w:p w14:paraId="3550EBC1" w14:textId="30754135" w:rsidR="00D42293" w:rsidRDefault="00000000">
      <w:pPr>
        <w:spacing w:before="20" w:after="40" w:line="320" w:lineRule="exact"/>
      </w:pPr>
      <w:r>
        <w:rPr>
          <w:rFonts w:ascii="Times New Roman" w:hAnsi="Times New Roman"/>
        </w:rPr>
        <w:t xml:space="preserve">   4.8 Automated Compliance Reports Engine</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83</w:t>
      </w:r>
    </w:p>
    <w:p w14:paraId="7C710A6D" w14:textId="757B5E68" w:rsidR="00D42293" w:rsidRDefault="00000000">
      <w:pPr>
        <w:spacing w:before="20" w:after="40" w:line="320" w:lineRule="exact"/>
      </w:pPr>
      <w:r>
        <w:rPr>
          <w:rFonts w:ascii="Times New Roman" w:hAnsi="Times New Roman"/>
        </w:rPr>
        <w:t xml:space="preserve">   4.9 UAE National Carbon Registry &amp; Corporate ESG Communities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85</w:t>
      </w:r>
    </w:p>
    <w:p w14:paraId="17A9E419" w14:textId="3B111BBE" w:rsidR="00D42293" w:rsidRDefault="00000000">
      <w:pPr>
        <w:spacing w:before="20" w:after="40" w:line="320" w:lineRule="exact"/>
      </w:pPr>
      <w:r>
        <w:rPr>
          <w:rFonts w:ascii="Times New Roman" w:hAnsi="Times New Roman"/>
          <w:b/>
        </w:rPr>
        <w:t>5. Experimental Evaluation, Results &amp; Critical Discussion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88</w:t>
      </w:r>
    </w:p>
    <w:p w14:paraId="6BA04728" w14:textId="4BF37078" w:rsidR="00D42293" w:rsidRDefault="00000000">
      <w:pPr>
        <w:spacing w:before="20" w:after="40" w:line="320" w:lineRule="exact"/>
      </w:pPr>
      <w:r>
        <w:rPr>
          <w:rFonts w:ascii="Times New Roman" w:hAnsi="Times New Roman"/>
        </w:rPr>
        <w:t xml:space="preserve">   5.1 Stage 1 Pixel Classification Performance &amp; Confusion Analysis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88</w:t>
      </w:r>
    </w:p>
    <w:p w14:paraId="7ED6AC95" w14:textId="7A563790" w:rsidR="00D42293" w:rsidRDefault="00000000">
      <w:pPr>
        <w:spacing w:before="20" w:after="40" w:line="320" w:lineRule="exact"/>
      </w:pPr>
      <w:r>
        <w:rPr>
          <w:rFonts w:ascii="Times New Roman" w:hAnsi="Times New Roman"/>
        </w:rPr>
        <w:t xml:space="preserve">   5.2 Stage 3 NASA GEDI Neural Imputation Model Evaluation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92</w:t>
      </w:r>
    </w:p>
    <w:p w14:paraId="0CA7D56E" w14:textId="2AE5CAC8" w:rsidR="00D42293" w:rsidRDefault="00000000">
      <w:pPr>
        <w:spacing w:before="20" w:after="40" w:line="320" w:lineRule="exact"/>
      </w:pPr>
      <w:r>
        <w:rPr>
          <w:rFonts w:ascii="Times New Roman" w:hAnsi="Times New Roman"/>
        </w:rPr>
        <w:t xml:space="preserve">   5.3 ST-GNN Sequestration Forecasting Performance &amp; Ablation Study</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95</w:t>
      </w:r>
    </w:p>
    <w:p w14:paraId="1DB395D5" w14:textId="2AB2F886" w:rsidR="00D42293" w:rsidRDefault="00000000">
      <w:pPr>
        <w:spacing w:before="20" w:after="40" w:line="320" w:lineRule="exact"/>
      </w:pPr>
      <w:r>
        <w:rPr>
          <w:rFonts w:ascii="Times New Roman" w:hAnsi="Times New Roman"/>
        </w:rPr>
        <w:t xml:space="preserve">   5.4 Allochthonous vs. Autochthonous Sediment Flux Attribution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99</w:t>
      </w:r>
    </w:p>
    <w:p w14:paraId="0D87E10D" w14:textId="78EF5FEB" w:rsidR="00D42293" w:rsidRDefault="00000000">
      <w:pPr>
        <w:spacing w:before="20" w:after="40" w:line="320" w:lineRule="exact"/>
      </w:pPr>
      <w:r>
        <w:rPr>
          <w:rFonts w:ascii="Times New Roman" w:hAnsi="Times New Roman"/>
        </w:rPr>
        <w:t xml:space="preserve">   5.5 Explainable AI (XAI) Auditing Validation &amp; Prompt Hardening</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101</w:t>
      </w:r>
    </w:p>
    <w:p w14:paraId="30D16CF1" w14:textId="62EA9F99" w:rsidR="00D42293" w:rsidRDefault="00000000">
      <w:pPr>
        <w:spacing w:before="20" w:after="40" w:line="320" w:lineRule="exact"/>
      </w:pPr>
      <w:r>
        <w:rPr>
          <w:rFonts w:ascii="Times New Roman" w:hAnsi="Times New Roman"/>
        </w:rPr>
        <w:t xml:space="preserve">   5.6 In-Depth Critical Human Discussion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103</w:t>
      </w:r>
    </w:p>
    <w:p w14:paraId="6D4D1C62" w14:textId="38F5D239" w:rsidR="00D42293" w:rsidRDefault="00000000">
      <w:pPr>
        <w:spacing w:before="20" w:after="40" w:line="320" w:lineRule="exact"/>
      </w:pPr>
      <w:r>
        <w:rPr>
          <w:rFonts w:ascii="Times New Roman" w:hAnsi="Times New Roman"/>
          <w:b/>
        </w:rPr>
        <w:t>6. Product Strategy, Managerial &amp; Environmental Impact</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107</w:t>
      </w:r>
    </w:p>
    <w:p w14:paraId="4246DCB4" w14:textId="135E29CF" w:rsidR="00D42293" w:rsidRDefault="00000000">
      <w:pPr>
        <w:spacing w:before="20" w:after="40" w:line="320" w:lineRule="exact"/>
      </w:pPr>
      <w:r>
        <w:rPr>
          <w:rFonts w:ascii="Times New Roman" w:hAnsi="Times New Roman"/>
        </w:rPr>
        <w:t xml:space="preserve">   6.1 The Vision: From Idea to Research to a Transformative Product</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107</w:t>
      </w:r>
    </w:p>
    <w:p w14:paraId="338DBE08" w14:textId="76EEA615" w:rsidR="00D42293" w:rsidRDefault="00000000">
      <w:pPr>
        <w:spacing w:before="20" w:after="40" w:line="320" w:lineRule="exact"/>
      </w:pPr>
      <w:r>
        <w:rPr>
          <w:rFonts w:ascii="Times New Roman" w:hAnsi="Times New Roman"/>
        </w:rPr>
        <w:t xml:space="preserve">   6.2 Why Every Coastal Nation Must Adopt MCIP</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109</w:t>
      </w:r>
    </w:p>
    <w:p w14:paraId="5FC00E2C" w14:textId="66A9BADA" w:rsidR="00D42293" w:rsidRDefault="00000000">
      <w:pPr>
        <w:spacing w:before="20" w:after="40" w:line="320" w:lineRule="exact"/>
      </w:pPr>
      <w:r>
        <w:rPr>
          <w:rFonts w:ascii="Times New Roman" w:hAnsi="Times New Roman"/>
        </w:rPr>
        <w:t xml:space="preserve">       6.2.1 Saving Money: Slashing MRV Verification Costs by 70%</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109</w:t>
      </w:r>
    </w:p>
    <w:p w14:paraId="65ECA2F2" w14:textId="2152F0FF" w:rsidR="00D42293" w:rsidRDefault="00000000">
      <w:pPr>
        <w:spacing w:before="20" w:after="40" w:line="320" w:lineRule="exact"/>
      </w:pPr>
      <w:r>
        <w:rPr>
          <w:rFonts w:ascii="Times New Roman" w:hAnsi="Times New Roman"/>
        </w:rPr>
        <w:t xml:space="preserve">       6.2.2 Making Money: Unlocking Sovereign Carbon Markets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111</w:t>
      </w:r>
    </w:p>
    <w:p w14:paraId="42340C82" w14:textId="181238D0" w:rsidR="00D42293" w:rsidRDefault="00000000">
      <w:pPr>
        <w:spacing w:before="20" w:after="40" w:line="320" w:lineRule="exact"/>
      </w:pPr>
      <w:r>
        <w:rPr>
          <w:rFonts w:ascii="Times New Roman" w:hAnsi="Times New Roman"/>
        </w:rPr>
        <w:t xml:space="preserve">       6.2.3 Saving and Making the Environment: High-Integrity Restoration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113</w:t>
      </w:r>
    </w:p>
    <w:p w14:paraId="61D0B4F6" w14:textId="21C12FF8" w:rsidR="00D42293" w:rsidRDefault="00000000">
      <w:pPr>
        <w:spacing w:before="20" w:after="40" w:line="320" w:lineRule="exact"/>
      </w:pPr>
      <w:r>
        <w:rPr>
          <w:rFonts w:ascii="Times New Roman" w:hAnsi="Times New Roman"/>
        </w:rPr>
        <w:t xml:space="preserve">   6.3 SaaS Commercial Architecture, Multi-Tenancy, and Monetization</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115</w:t>
      </w:r>
    </w:p>
    <w:p w14:paraId="1EBB2420" w14:textId="0641EB60" w:rsidR="00D42293" w:rsidRDefault="00000000">
      <w:pPr>
        <w:spacing w:before="20" w:after="40" w:line="320" w:lineRule="exact"/>
      </w:pPr>
      <w:r>
        <w:rPr>
          <w:rFonts w:ascii="Times New Roman" w:hAnsi="Times New Roman"/>
        </w:rPr>
        <w:t xml:space="preserve">   6.4 Strategic Recommendations for National Regulators and COP Delegations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117</w:t>
      </w:r>
    </w:p>
    <w:p w14:paraId="0C65A28A" w14:textId="0626AFD7" w:rsidR="00D42293" w:rsidRDefault="00000000">
      <w:pPr>
        <w:spacing w:before="20" w:after="40" w:line="320" w:lineRule="exact"/>
      </w:pPr>
      <w:r>
        <w:rPr>
          <w:rFonts w:ascii="Times New Roman" w:hAnsi="Times New Roman"/>
          <w:b/>
        </w:rPr>
        <w:t>7. Conclusion &amp; Future Work</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119</w:t>
      </w:r>
    </w:p>
    <w:p w14:paraId="3219437A" w14:textId="1F6EE7B0" w:rsidR="00D42293" w:rsidRDefault="00000000">
      <w:pPr>
        <w:spacing w:before="20" w:after="40" w:line="320" w:lineRule="exact"/>
      </w:pPr>
      <w:r>
        <w:rPr>
          <w:rFonts w:ascii="Times New Roman" w:hAnsi="Times New Roman"/>
        </w:rPr>
        <w:t xml:space="preserve">   7.1 Conclusion &amp; Synthesis of Findings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119</w:t>
      </w:r>
    </w:p>
    <w:p w14:paraId="0E3E73C5" w14:textId="63FB4A2F" w:rsidR="00D42293" w:rsidRDefault="00000000">
      <w:pPr>
        <w:spacing w:before="20" w:after="40" w:line="320" w:lineRule="exact"/>
      </w:pPr>
      <w:r>
        <w:rPr>
          <w:rFonts w:ascii="Times New Roman" w:hAnsi="Times New Roman"/>
        </w:rPr>
        <w:t xml:space="preserve">   7.2 Managerial &amp; Industry Implications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121</w:t>
      </w:r>
    </w:p>
    <w:p w14:paraId="0CEBF4E2" w14:textId="17D22CA5" w:rsidR="00D42293" w:rsidRDefault="00000000">
      <w:pPr>
        <w:spacing w:before="20" w:after="40" w:line="320" w:lineRule="exact"/>
      </w:pPr>
      <w:r>
        <w:rPr>
          <w:rFonts w:ascii="Times New Roman" w:hAnsi="Times New Roman"/>
        </w:rPr>
        <w:t xml:space="preserve">   7.3 Theoretical &amp; Academic Implications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122</w:t>
      </w:r>
    </w:p>
    <w:p w14:paraId="531E2AF0" w14:textId="345E3593" w:rsidR="00D42293" w:rsidRDefault="00000000">
      <w:pPr>
        <w:spacing w:before="20" w:after="40" w:line="320" w:lineRule="exact"/>
      </w:pPr>
      <w:r>
        <w:rPr>
          <w:rFonts w:ascii="Times New Roman" w:hAnsi="Times New Roman"/>
        </w:rPr>
        <w:t xml:space="preserve">   7.4 Research Limitations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124</w:t>
      </w:r>
    </w:p>
    <w:p w14:paraId="476212CD" w14:textId="393A6CBD" w:rsidR="00D42293" w:rsidRDefault="00000000">
      <w:pPr>
        <w:spacing w:before="20" w:after="40" w:line="320" w:lineRule="exact"/>
      </w:pPr>
      <w:r>
        <w:rPr>
          <w:rFonts w:ascii="Times New Roman" w:hAnsi="Times New Roman"/>
        </w:rPr>
        <w:t xml:space="preserve">   7.5 Future Work &amp; Global Scaling Horizons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125</w:t>
      </w:r>
    </w:p>
    <w:p w14:paraId="1878259B" w14:textId="60DF2E28" w:rsidR="00D42293" w:rsidRDefault="00000000">
      <w:pPr>
        <w:spacing w:before="20" w:after="40" w:line="320" w:lineRule="exact"/>
      </w:pPr>
      <w:r>
        <w:rPr>
          <w:rFonts w:ascii="Times New Roman" w:hAnsi="Times New Roman"/>
          <w:b/>
        </w:rPr>
        <w:t>References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127</w:t>
      </w:r>
    </w:p>
    <w:p w14:paraId="54476AB2" w14:textId="336FA260" w:rsidR="00D42293" w:rsidRDefault="00000000">
      <w:pPr>
        <w:spacing w:before="20" w:after="40" w:line="320" w:lineRule="exact"/>
      </w:pPr>
      <w:r>
        <w:rPr>
          <w:rFonts w:ascii="Times New Roman" w:hAnsi="Times New Roman"/>
          <w:b/>
        </w:rPr>
        <w:t>Appendices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137</w:t>
      </w:r>
    </w:p>
    <w:p w14:paraId="52D52221" w14:textId="6EB8195F" w:rsidR="00D42293" w:rsidRDefault="00000000">
      <w:pPr>
        <w:spacing w:before="20" w:after="40" w:line="320" w:lineRule="exact"/>
      </w:pPr>
      <w:r>
        <w:rPr>
          <w:rFonts w:ascii="Times New Roman" w:hAnsi="Times New Roman"/>
        </w:rPr>
        <w:t xml:space="preserve">   Appendix A: Ethics Screening Form Summary</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137</w:t>
      </w:r>
    </w:p>
    <w:p w14:paraId="558B224E" w14:textId="38B01331" w:rsidR="00D42293" w:rsidRDefault="00000000">
      <w:pPr>
        <w:spacing w:before="20" w:after="40" w:line="320" w:lineRule="exact"/>
      </w:pPr>
      <w:r>
        <w:rPr>
          <w:rFonts w:ascii="Times New Roman" w:hAnsi="Times New Roman"/>
        </w:rPr>
        <w:t xml:space="preserve">   Appendix B: Computing Infrastructure &amp; Technical Specifications</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138</w:t>
      </w:r>
    </w:p>
    <w:p w14:paraId="55AFEDC4" w14:textId="4D89E3F3" w:rsidR="00D42293" w:rsidRDefault="00000000">
      <w:pPr>
        <w:spacing w:before="20" w:after="40" w:line="320" w:lineRule="exact"/>
      </w:pPr>
      <w:r>
        <w:rPr>
          <w:rFonts w:ascii="Times New Roman" w:hAnsi="Times New Roman"/>
        </w:rPr>
        <w:t xml:space="preserve">   Appendix C: Project Schedule &amp; Work Breakdown Structure (Gantt)</w:t>
      </w:r>
      <w:r>
        <w:rPr>
          <w:rFonts w:ascii="Times New Roman" w:hAnsi="Times New Roman"/>
          <w:color w:val="969696"/>
          <w:sz w:val="20"/>
        </w:rPr>
        <w:t xml:space="preserve"> ...</w:t>
      </w:r>
      <w:r w:rsidR="00F165F2">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139</w:t>
      </w:r>
    </w:p>
    <w:p w14:paraId="59415377" w14:textId="77777777" w:rsidR="00D42293" w:rsidRDefault="00000000">
      <w:r>
        <w:br w:type="page"/>
      </w:r>
    </w:p>
    <w:p w14:paraId="3A2BDF36" w14:textId="77777777" w:rsidR="00D42293" w:rsidRDefault="00000000">
      <w:pPr>
        <w:keepNext/>
        <w:spacing w:before="360" w:after="240"/>
      </w:pPr>
      <w:r>
        <w:rPr>
          <w:rFonts w:ascii="Times New Roman" w:hAnsi="Times New Roman"/>
          <w:b/>
          <w:color w:val="003366"/>
          <w:sz w:val="32"/>
        </w:rPr>
        <w:lastRenderedPageBreak/>
        <w:t>List of Figures</w:t>
      </w:r>
    </w:p>
    <w:p w14:paraId="401EF26F" w14:textId="5A377769" w:rsidR="00D42293" w:rsidRDefault="00000000">
      <w:pPr>
        <w:spacing w:before="20" w:after="40" w:line="320" w:lineRule="exact"/>
      </w:pPr>
      <w:r>
        <w:rPr>
          <w:rFonts w:ascii="Times New Roman" w:hAnsi="Times New Roman"/>
          <w:b/>
          <w:color w:val="003366"/>
        </w:rPr>
        <w:t xml:space="preserve">Figure 3.1: </w:t>
      </w:r>
      <w:r>
        <w:rPr>
          <w:rFonts w:ascii="Times New Roman" w:hAnsi="Times New Roman"/>
        </w:rPr>
        <w:t>Copernicus Open Access Interface displaying Sentinel satellite constellation telemetry availability.</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38</w:t>
      </w:r>
    </w:p>
    <w:p w14:paraId="7E4761AA" w14:textId="40B00B36" w:rsidR="00D42293" w:rsidRDefault="00000000">
      <w:pPr>
        <w:spacing w:before="20" w:after="40" w:line="320" w:lineRule="exact"/>
      </w:pPr>
      <w:r>
        <w:rPr>
          <w:rFonts w:ascii="Times New Roman" w:hAnsi="Times New Roman"/>
          <w:b/>
          <w:color w:val="003366"/>
        </w:rPr>
        <w:t xml:space="preserve">Figure 3.2: </w:t>
      </w:r>
      <w:r>
        <w:rPr>
          <w:rFonts w:ascii="Times New Roman" w:hAnsi="Times New Roman"/>
        </w:rPr>
        <w:t>Manual bounding box and coordinate selection for the coastal Mangrove category in Copernicus.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39</w:t>
      </w:r>
    </w:p>
    <w:p w14:paraId="137AB2B1" w14:textId="6626B3DF" w:rsidR="00D42293" w:rsidRDefault="00000000">
      <w:pPr>
        <w:spacing w:before="20" w:after="40" w:line="320" w:lineRule="exact"/>
      </w:pPr>
      <w:r>
        <w:rPr>
          <w:rFonts w:ascii="Times New Roman" w:hAnsi="Times New Roman"/>
          <w:b/>
          <w:color w:val="003366"/>
        </w:rPr>
        <w:t xml:space="preserve">Figure 3.3: </w:t>
      </w:r>
      <w:r>
        <w:rPr>
          <w:rFonts w:ascii="Times New Roman" w:hAnsi="Times New Roman"/>
        </w:rPr>
        <w:t>Manual coordinate sampling and spectral verification for the marine Water class.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40</w:t>
      </w:r>
    </w:p>
    <w:p w14:paraId="6525F48F" w14:textId="37C757B0" w:rsidR="00D42293" w:rsidRDefault="00000000">
      <w:pPr>
        <w:spacing w:before="20" w:after="40" w:line="320" w:lineRule="exact"/>
      </w:pPr>
      <w:r>
        <w:rPr>
          <w:rFonts w:ascii="Times New Roman" w:hAnsi="Times New Roman"/>
          <w:b/>
          <w:color w:val="003366"/>
        </w:rPr>
        <w:t xml:space="preserve">Figure 3.4: </w:t>
      </w:r>
      <w:r>
        <w:rPr>
          <w:rFonts w:ascii="Times New Roman" w:hAnsi="Times New Roman"/>
        </w:rPr>
        <w:t>Manual coordinate sampling for hyper-arid coastal Sand dunes and sabkha flats.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41</w:t>
      </w:r>
    </w:p>
    <w:p w14:paraId="7C23FDFE" w14:textId="1C81264A" w:rsidR="00D42293" w:rsidRDefault="00000000">
      <w:pPr>
        <w:spacing w:before="20" w:after="40" w:line="320" w:lineRule="exact"/>
      </w:pPr>
      <w:r>
        <w:rPr>
          <w:rFonts w:ascii="Times New Roman" w:hAnsi="Times New Roman"/>
          <w:b/>
          <w:color w:val="003366"/>
        </w:rPr>
        <w:t xml:space="preserve">Figure 3.5: </w:t>
      </w:r>
      <w:r>
        <w:rPr>
          <w:rFonts w:ascii="Times New Roman" w:hAnsi="Times New Roman"/>
        </w:rPr>
        <w:t>Manual coordinate sampling for coastal Urban infrastructure, ports, and settlements.</w:t>
      </w:r>
      <w:r>
        <w:rPr>
          <w:rFonts w:ascii="Times New Roman" w:hAnsi="Times New Roman"/>
          <w:color w:val="969696"/>
          <w:sz w:val="20"/>
        </w:rPr>
        <w:t xml:space="preserve"> ... </w:t>
      </w:r>
      <w:r>
        <w:rPr>
          <w:rFonts w:ascii="Times New Roman" w:hAnsi="Times New Roman"/>
          <w:b/>
        </w:rPr>
        <w:t>42</w:t>
      </w:r>
    </w:p>
    <w:p w14:paraId="0BD3F6A2" w14:textId="3FA1D830" w:rsidR="00D42293" w:rsidRDefault="00000000">
      <w:pPr>
        <w:spacing w:before="20" w:after="40" w:line="320" w:lineRule="exact"/>
      </w:pPr>
      <w:r>
        <w:rPr>
          <w:rFonts w:ascii="Times New Roman" w:hAnsi="Times New Roman"/>
          <w:b/>
          <w:color w:val="003366"/>
        </w:rPr>
        <w:t xml:space="preserve">Figure 3.6: </w:t>
      </w:r>
      <w:r>
        <w:rPr>
          <w:rFonts w:ascii="Times New Roman" w:hAnsi="Times New Roman"/>
        </w:rPr>
        <w:t>Manual coordinate sampling for terrestrial inland Forest and irrigated park vegetation.</w:t>
      </w:r>
      <w:r>
        <w:rPr>
          <w:rFonts w:ascii="Times New Roman" w:hAnsi="Times New Roman"/>
          <w:color w:val="969696"/>
          <w:sz w:val="20"/>
        </w:rPr>
        <w:t xml:space="preserve">  </w:t>
      </w:r>
      <w:r>
        <w:rPr>
          <w:rFonts w:ascii="Times New Roman" w:hAnsi="Times New Roman"/>
          <w:b/>
        </w:rPr>
        <w:t>43</w:t>
      </w:r>
    </w:p>
    <w:p w14:paraId="5DA953FB" w14:textId="432CDE3E" w:rsidR="00D42293" w:rsidRDefault="00000000">
      <w:pPr>
        <w:spacing w:before="20" w:after="40" w:line="320" w:lineRule="exact"/>
      </w:pPr>
      <w:r>
        <w:rPr>
          <w:rFonts w:ascii="Times New Roman" w:hAnsi="Times New Roman"/>
          <w:b/>
          <w:color w:val="003366"/>
        </w:rPr>
        <w:t xml:space="preserve">Figure 3.7: </w:t>
      </w:r>
      <w:r>
        <w:rPr>
          <w:rFonts w:ascii="Times New Roman" w:hAnsi="Times New Roman"/>
        </w:rPr>
        <w:t>Copernicus interface showing coordinate selection across the Sundarbans mangrove forest in Bangladesh.</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44</w:t>
      </w:r>
    </w:p>
    <w:p w14:paraId="4407A7B0" w14:textId="2418C8CC" w:rsidR="00D42293" w:rsidRDefault="00000000">
      <w:pPr>
        <w:spacing w:before="20" w:after="40" w:line="320" w:lineRule="exact"/>
      </w:pPr>
      <w:r>
        <w:rPr>
          <w:rFonts w:ascii="Times New Roman" w:hAnsi="Times New Roman"/>
          <w:b/>
          <w:color w:val="003366"/>
        </w:rPr>
        <w:t xml:space="preserve">Figure 3.8: </w:t>
      </w:r>
      <w:r>
        <w:rPr>
          <w:rFonts w:ascii="Times New Roman" w:hAnsi="Times New Roman"/>
        </w:rPr>
        <w:t>Geographic extent and bounding coordinate box for the UAE coastal mangrove study area.</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45</w:t>
      </w:r>
    </w:p>
    <w:p w14:paraId="74B8ED2A" w14:textId="64373C70" w:rsidR="00D42293" w:rsidRDefault="00000000">
      <w:pPr>
        <w:spacing w:before="20" w:after="40" w:line="320" w:lineRule="exact"/>
      </w:pPr>
      <w:r>
        <w:rPr>
          <w:rFonts w:ascii="Times New Roman" w:hAnsi="Times New Roman"/>
          <w:b/>
          <w:color w:val="003366"/>
        </w:rPr>
        <w:t xml:space="preserve">Figure 3.9: </w:t>
      </w:r>
      <w:r>
        <w:rPr>
          <w:rFonts w:ascii="Times New Roman" w:hAnsi="Times New Roman"/>
        </w:rPr>
        <w:t>Class distribution across five land cover categories before and after RandomUnderSampler balancing.</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46</w:t>
      </w:r>
    </w:p>
    <w:p w14:paraId="756F697A" w14:textId="76069E72" w:rsidR="00D42293" w:rsidRDefault="00000000">
      <w:pPr>
        <w:spacing w:before="20" w:after="40" w:line="320" w:lineRule="exact"/>
      </w:pPr>
      <w:r>
        <w:rPr>
          <w:rFonts w:ascii="Times New Roman" w:hAnsi="Times New Roman"/>
          <w:b/>
          <w:color w:val="003366"/>
        </w:rPr>
        <w:t xml:space="preserve">Figure 3.10: </w:t>
      </w:r>
      <w:r>
        <w:rPr>
          <w:rFonts w:ascii="Times New Roman" w:hAnsi="Times New Roman"/>
        </w:rPr>
        <w:t>Deep ANN pixel classification training history showing Categorical Crossentropy Loss and Accuracy curves.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47</w:t>
      </w:r>
    </w:p>
    <w:p w14:paraId="4E2E6C06" w14:textId="2EAEA530" w:rsidR="00D42293" w:rsidRDefault="00000000">
      <w:pPr>
        <w:spacing w:before="20" w:after="40" w:line="320" w:lineRule="exact"/>
      </w:pPr>
      <w:r>
        <w:rPr>
          <w:rFonts w:ascii="Times New Roman" w:hAnsi="Times New Roman"/>
          <w:b/>
          <w:color w:val="003366"/>
        </w:rPr>
        <w:t xml:space="preserve">Figure 3.11: </w:t>
      </w:r>
      <w:r>
        <w:rPr>
          <w:rFonts w:ascii="Times New Roman" w:hAnsi="Times New Roman"/>
        </w:rPr>
        <w:t>Classification Confusion Matrix across Forest, Mangrove, Sand, Urban, and Water on the test set.</w:t>
      </w:r>
      <w:r>
        <w:rPr>
          <w:rFonts w:ascii="Times New Roman" w:hAnsi="Times New Roman"/>
          <w:color w:val="969696"/>
          <w:sz w:val="20"/>
        </w:rPr>
        <w:t xml:space="preserve"> ...........................</w:t>
      </w:r>
      <w:r w:rsidR="00AE090D">
        <w:rPr>
          <w:rFonts w:ascii="Times New Roman" w:hAnsi="Times New Roman"/>
          <w:color w:val="969696"/>
          <w:sz w:val="20"/>
        </w:rPr>
        <w:t xml:space="preserve">.............................................................................................................................. </w:t>
      </w:r>
      <w:r>
        <w:rPr>
          <w:rFonts w:ascii="Times New Roman" w:hAnsi="Times New Roman"/>
          <w:b/>
        </w:rPr>
        <w:t>48</w:t>
      </w:r>
    </w:p>
    <w:p w14:paraId="65F30203" w14:textId="3060410B" w:rsidR="00D42293" w:rsidRDefault="00000000">
      <w:pPr>
        <w:spacing w:before="20" w:after="40" w:line="320" w:lineRule="exact"/>
      </w:pPr>
      <w:r>
        <w:rPr>
          <w:rFonts w:ascii="Times New Roman" w:hAnsi="Times New Roman"/>
          <w:b/>
          <w:color w:val="003366"/>
        </w:rPr>
        <w:t xml:space="preserve">Figure 3.12: </w:t>
      </w:r>
      <w:r>
        <w:rPr>
          <w:rFonts w:ascii="Times New Roman" w:hAnsi="Times New Roman"/>
        </w:rPr>
        <w:t>Spatial distribution of verified mangrove pixels classified across the UAE coastal coordinates.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49</w:t>
      </w:r>
    </w:p>
    <w:p w14:paraId="36A11325" w14:textId="24C44172" w:rsidR="00D42293" w:rsidRDefault="00000000">
      <w:pPr>
        <w:spacing w:before="20" w:after="40" w:line="320" w:lineRule="exact"/>
      </w:pPr>
      <w:r>
        <w:rPr>
          <w:rFonts w:ascii="Times New Roman" w:hAnsi="Times New Roman"/>
          <w:b/>
          <w:color w:val="003366"/>
        </w:rPr>
        <w:t xml:space="preserve">Figure 3.13: </w:t>
      </w:r>
      <w:r>
        <w:rPr>
          <w:rFonts w:ascii="Times New Roman" w:hAnsi="Times New Roman"/>
        </w:rPr>
        <w:t>Multispectral, radar backscatter, and LiDAR feature correlation matrix across coastal indicators.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51</w:t>
      </w:r>
    </w:p>
    <w:p w14:paraId="5C68350D" w14:textId="24B1B631" w:rsidR="00D42293" w:rsidRDefault="00000000">
      <w:pPr>
        <w:spacing w:before="20" w:after="40" w:line="320" w:lineRule="exact"/>
      </w:pPr>
      <w:r>
        <w:rPr>
          <w:rFonts w:ascii="Times New Roman" w:hAnsi="Times New Roman"/>
          <w:b/>
          <w:color w:val="003366"/>
        </w:rPr>
        <w:t xml:space="preserve">Figure 3.14: </w:t>
      </w:r>
      <w:r>
        <w:rPr>
          <w:rFonts w:ascii="Times New Roman" w:hAnsi="Times New Roman"/>
        </w:rPr>
        <w:t>Neural imputation training and validation convergence curves across all eight NASA GEDI structural parameters.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53</w:t>
      </w:r>
    </w:p>
    <w:p w14:paraId="24C81FEC" w14:textId="119EA583" w:rsidR="00D42293" w:rsidRDefault="00000000">
      <w:pPr>
        <w:spacing w:before="20" w:after="40" w:line="320" w:lineRule="exact"/>
      </w:pPr>
      <w:r>
        <w:rPr>
          <w:rFonts w:ascii="Times New Roman" w:hAnsi="Times New Roman"/>
          <w:b/>
          <w:color w:val="003366"/>
        </w:rPr>
        <w:t xml:space="preserve">Figure 3.15: </w:t>
      </w:r>
      <w:r>
        <w:rPr>
          <w:rFonts w:ascii="Times New Roman" w:hAnsi="Times New Roman"/>
        </w:rPr>
        <w:t>DBSCAN spatial clustering output delineating 53 ecologically coherent mangrove patches.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57</w:t>
      </w:r>
    </w:p>
    <w:p w14:paraId="2C7D5F4D" w14:textId="206FA75C" w:rsidR="00D42293" w:rsidRDefault="00000000">
      <w:pPr>
        <w:spacing w:before="20" w:after="40" w:line="320" w:lineRule="exact"/>
      </w:pPr>
      <w:r>
        <w:rPr>
          <w:rFonts w:ascii="Times New Roman" w:hAnsi="Times New Roman"/>
          <w:b/>
          <w:color w:val="003366"/>
        </w:rPr>
        <w:t xml:space="preserve">Figure 3.16: </w:t>
      </w:r>
      <w:r>
        <w:rPr>
          <w:rFonts w:ascii="Times New Roman" w:hAnsi="Times New Roman"/>
        </w:rPr>
        <w:t>Directed topological graph constructed in NetworkX depicting tidal and sedimental connectivity (86 edges).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59</w:t>
      </w:r>
    </w:p>
    <w:p w14:paraId="60BDDA26" w14:textId="3E68D29A" w:rsidR="00D42293" w:rsidRDefault="00000000">
      <w:pPr>
        <w:spacing w:before="20" w:after="40" w:line="320" w:lineRule="exact"/>
      </w:pPr>
      <w:r>
        <w:rPr>
          <w:rFonts w:ascii="Times New Roman" w:hAnsi="Times New Roman"/>
          <w:b/>
          <w:color w:val="003366"/>
        </w:rPr>
        <w:t xml:space="preserve">Figure 3.17: </w:t>
      </w:r>
      <w:r>
        <w:rPr>
          <w:rFonts w:ascii="Times New Roman" w:hAnsi="Times New Roman"/>
        </w:rPr>
        <w:t>Spatial overlay of mangrove patch nodes and directional sedimental transport edges along the UAE coastline.</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60</w:t>
      </w:r>
    </w:p>
    <w:p w14:paraId="6E66C117" w14:textId="50BE6F68" w:rsidR="00D42293" w:rsidRDefault="00000000">
      <w:pPr>
        <w:spacing w:before="20" w:after="40" w:line="320" w:lineRule="exact"/>
      </w:pPr>
      <w:r>
        <w:rPr>
          <w:rFonts w:ascii="Times New Roman" w:hAnsi="Times New Roman"/>
          <w:b/>
          <w:color w:val="003366"/>
        </w:rPr>
        <w:t xml:space="preserve">Figure 3.18: </w:t>
      </w:r>
      <w:r>
        <w:rPr>
          <w:rFonts w:ascii="Times New Roman" w:hAnsi="Times New Roman"/>
        </w:rPr>
        <w:t>Adjacency matrix heatmap representing weighted sedimental and tidal edges in the ST-GNN architecture.</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61</w:t>
      </w:r>
    </w:p>
    <w:p w14:paraId="770A6EA9" w14:textId="612777CE" w:rsidR="00D42293" w:rsidRDefault="00000000">
      <w:pPr>
        <w:spacing w:before="20" w:after="40" w:line="320" w:lineRule="exact"/>
      </w:pPr>
      <w:r>
        <w:rPr>
          <w:rFonts w:ascii="Times New Roman" w:hAnsi="Times New Roman"/>
          <w:b/>
          <w:color w:val="003366"/>
        </w:rPr>
        <w:t xml:space="preserve">Figure 4.1: </w:t>
      </w:r>
      <w:r>
        <w:rPr>
          <w:rFonts w:ascii="Times New Roman" w:hAnsi="Times New Roman"/>
        </w:rPr>
        <w:t>The MCIP Web Dashboard overview showing key performance indicators, active patches, and carbon stocks.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71</w:t>
      </w:r>
    </w:p>
    <w:p w14:paraId="66444B65" w14:textId="629F23DD" w:rsidR="00D42293" w:rsidRDefault="00000000">
      <w:pPr>
        <w:spacing w:before="20" w:after="40" w:line="320" w:lineRule="exact"/>
      </w:pPr>
      <w:r>
        <w:rPr>
          <w:rFonts w:ascii="Times New Roman" w:hAnsi="Times New Roman"/>
          <w:b/>
          <w:color w:val="003366"/>
        </w:rPr>
        <w:t xml:space="preserve">Figure 4.2: </w:t>
      </w:r>
      <w:r>
        <w:rPr>
          <w:rFonts w:ascii="Times New Roman" w:hAnsi="Times New Roman"/>
        </w:rPr>
        <w:t>Interactive Geospatial Coastal Map interface with multi-spectral overlay and patch-level inspector.</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74</w:t>
      </w:r>
    </w:p>
    <w:p w14:paraId="650D4139" w14:textId="767983AB" w:rsidR="00D42293" w:rsidRDefault="00000000">
      <w:pPr>
        <w:spacing w:before="20" w:after="40" w:line="320" w:lineRule="exact"/>
      </w:pPr>
      <w:r>
        <w:rPr>
          <w:rFonts w:ascii="Times New Roman" w:hAnsi="Times New Roman"/>
          <w:b/>
          <w:color w:val="003366"/>
        </w:rPr>
        <w:lastRenderedPageBreak/>
        <w:t xml:space="preserve">Figure 4.3: </w:t>
      </w:r>
      <w:r>
        <w:rPr>
          <w:rFonts w:ascii="Times New Roman" w:hAnsi="Times New Roman"/>
        </w:rPr>
        <w:t>The Carbon Analytics Engine illustrating multi-year temporal trends and sequestration forecasting.</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76</w:t>
      </w:r>
    </w:p>
    <w:p w14:paraId="488C1840" w14:textId="183B0910" w:rsidR="00D42293" w:rsidRDefault="00000000">
      <w:pPr>
        <w:spacing w:before="20" w:after="40" w:line="320" w:lineRule="exact"/>
      </w:pPr>
      <w:r>
        <w:rPr>
          <w:rFonts w:ascii="Times New Roman" w:hAnsi="Times New Roman"/>
          <w:b/>
          <w:color w:val="003366"/>
        </w:rPr>
        <w:t xml:space="preserve">Figure 4.4: </w:t>
      </w:r>
      <w:r>
        <w:rPr>
          <w:rFonts w:ascii="Times New Roman" w:hAnsi="Times New Roman"/>
        </w:rPr>
        <w:t>Real-Time System Alerts interface tracking active, under investigation, and resolved anomalies.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78</w:t>
      </w:r>
    </w:p>
    <w:p w14:paraId="418B2259" w14:textId="7A0F49DB" w:rsidR="00D42293" w:rsidRDefault="00000000">
      <w:pPr>
        <w:spacing w:before="20" w:after="40" w:line="320" w:lineRule="exact"/>
      </w:pPr>
      <w:r>
        <w:rPr>
          <w:rFonts w:ascii="Times New Roman" w:hAnsi="Times New Roman"/>
          <w:b/>
          <w:color w:val="003366"/>
        </w:rPr>
        <w:t xml:space="preserve">Figure 4.5: </w:t>
      </w:r>
      <w:r>
        <w:rPr>
          <w:rFonts w:ascii="Times New Roman" w:hAnsi="Times New Roman"/>
        </w:rPr>
        <w:t>Featured Threat Alerts console displaying proactive environmental risk warnings and mitigation workflows.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79</w:t>
      </w:r>
    </w:p>
    <w:p w14:paraId="11B174AB" w14:textId="7E5A8D1A" w:rsidR="00D42293" w:rsidRDefault="00000000">
      <w:pPr>
        <w:spacing w:before="20" w:after="40" w:line="320" w:lineRule="exact"/>
      </w:pPr>
      <w:r>
        <w:rPr>
          <w:rFonts w:ascii="Times New Roman" w:hAnsi="Times New Roman"/>
          <w:b/>
          <w:color w:val="003366"/>
        </w:rPr>
        <w:t xml:space="preserve">Figure 4.6: </w:t>
      </w:r>
      <w:r>
        <w:rPr>
          <w:rFonts w:ascii="Times New Roman" w:hAnsi="Times New Roman"/>
        </w:rPr>
        <w:t>Auditor-ready Explainable AI (XAI) conversational drawer powered by Google Genkit and Gemini 2.5 Flash.</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81</w:t>
      </w:r>
    </w:p>
    <w:p w14:paraId="5FD590C5" w14:textId="714B26C8" w:rsidR="00D42293" w:rsidRDefault="00000000">
      <w:pPr>
        <w:spacing w:before="20" w:after="40" w:line="320" w:lineRule="exact"/>
      </w:pPr>
      <w:r>
        <w:rPr>
          <w:rFonts w:ascii="Times New Roman" w:hAnsi="Times New Roman"/>
          <w:b/>
          <w:color w:val="003366"/>
        </w:rPr>
        <w:t xml:space="preserve">Figure 4.7: </w:t>
      </w:r>
      <w:r>
        <w:rPr>
          <w:rFonts w:ascii="Times New Roman" w:hAnsi="Times New Roman"/>
        </w:rPr>
        <w:t>Automated Compliance Report Generation interface for international carbon registries.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84</w:t>
      </w:r>
    </w:p>
    <w:p w14:paraId="1F1FCECD" w14:textId="72AB7A55" w:rsidR="00D42293" w:rsidRDefault="00000000">
      <w:pPr>
        <w:spacing w:before="20" w:after="40" w:line="320" w:lineRule="exact"/>
      </w:pPr>
      <w:r>
        <w:rPr>
          <w:rFonts w:ascii="Times New Roman" w:hAnsi="Times New Roman"/>
          <w:b/>
          <w:color w:val="003366"/>
        </w:rPr>
        <w:t xml:space="preserve">Figure 4.8: </w:t>
      </w:r>
      <w:r>
        <w:rPr>
          <w:rFonts w:ascii="Times New Roman" w:hAnsi="Times New Roman"/>
        </w:rPr>
        <w:t>The UAE National Carbon Registry interface displaying verified blue carbon credit portfolios.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86</w:t>
      </w:r>
    </w:p>
    <w:p w14:paraId="224D6445" w14:textId="021E0E84" w:rsidR="00D42293" w:rsidRDefault="00000000">
      <w:pPr>
        <w:spacing w:before="20" w:after="40" w:line="320" w:lineRule="exact"/>
      </w:pPr>
      <w:r>
        <w:rPr>
          <w:rFonts w:ascii="Times New Roman" w:hAnsi="Times New Roman"/>
          <w:b/>
          <w:color w:val="003366"/>
        </w:rPr>
        <w:t xml:space="preserve">Figure 4.9: </w:t>
      </w:r>
      <w:r>
        <w:rPr>
          <w:rFonts w:ascii="Times New Roman" w:hAnsi="Times New Roman"/>
        </w:rPr>
        <w:t>Corporate ESG Communities portal enabling institutional stakeholders to sponsor and verify mangrove restoration.</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87</w:t>
      </w:r>
    </w:p>
    <w:p w14:paraId="0E0C5DB9" w14:textId="77777777" w:rsidR="00D42293" w:rsidRDefault="00000000">
      <w:r>
        <w:br w:type="page"/>
      </w:r>
    </w:p>
    <w:p w14:paraId="0B742D98" w14:textId="77777777" w:rsidR="00D42293" w:rsidRDefault="00000000">
      <w:pPr>
        <w:keepNext/>
        <w:spacing w:before="360" w:after="240"/>
      </w:pPr>
      <w:r>
        <w:rPr>
          <w:rFonts w:ascii="Times New Roman" w:hAnsi="Times New Roman"/>
          <w:b/>
          <w:color w:val="003366"/>
          <w:sz w:val="32"/>
        </w:rPr>
        <w:lastRenderedPageBreak/>
        <w:t>List of Tables</w:t>
      </w:r>
    </w:p>
    <w:p w14:paraId="0305DA38" w14:textId="5D47CD8F" w:rsidR="00D42293" w:rsidRDefault="00000000">
      <w:pPr>
        <w:spacing w:before="20" w:after="40" w:line="320" w:lineRule="exact"/>
      </w:pPr>
      <w:r>
        <w:rPr>
          <w:rFonts w:ascii="Times New Roman" w:hAnsi="Times New Roman"/>
          <w:b/>
          <w:color w:val="003366"/>
        </w:rPr>
        <w:t xml:space="preserve">Table 1.1: </w:t>
      </w:r>
      <w:r>
        <w:rPr>
          <w:rFonts w:ascii="Times New Roman" w:hAnsi="Times New Roman"/>
        </w:rPr>
        <w:t>Alignment of Research Work Packages with Project Objectives and Deliverables.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8</w:t>
      </w:r>
    </w:p>
    <w:p w14:paraId="12913A16" w14:textId="5B493D36" w:rsidR="00D42293" w:rsidRDefault="00000000">
      <w:pPr>
        <w:spacing w:before="20" w:after="40" w:line="320" w:lineRule="exact"/>
      </w:pPr>
      <w:r>
        <w:rPr>
          <w:rFonts w:ascii="Times New Roman" w:hAnsi="Times New Roman"/>
          <w:b/>
          <w:color w:val="003366"/>
        </w:rPr>
        <w:t xml:space="preserve">Table 2.1: </w:t>
      </w:r>
      <w:r>
        <w:rPr>
          <w:rFonts w:ascii="Times New Roman" w:hAnsi="Times New Roman"/>
        </w:rPr>
        <w:t>Systematic Literature Search Keywords, Boolean Queries, and Categorical Groupings.</w:t>
      </w:r>
      <w:r>
        <w:rPr>
          <w:rFonts w:ascii="Times New Roman" w:hAnsi="Times New Roman"/>
          <w:color w:val="969696"/>
          <w:sz w:val="20"/>
        </w:rPr>
        <w:t xml:space="preserve"> . </w:t>
      </w:r>
      <w:r>
        <w:rPr>
          <w:rFonts w:ascii="Times New Roman" w:hAnsi="Times New Roman"/>
          <w:b/>
        </w:rPr>
        <w:t>12</w:t>
      </w:r>
    </w:p>
    <w:p w14:paraId="686E2A1F" w14:textId="2A2C16DA" w:rsidR="00D42293" w:rsidRDefault="00000000">
      <w:pPr>
        <w:spacing w:before="20" w:after="40" w:line="320" w:lineRule="exact"/>
      </w:pPr>
      <w:r>
        <w:rPr>
          <w:rFonts w:ascii="Times New Roman" w:hAnsi="Times New Roman"/>
          <w:b/>
          <w:color w:val="003366"/>
        </w:rPr>
        <w:t xml:space="preserve">Table 2.2: </w:t>
      </w:r>
      <w:r>
        <w:rPr>
          <w:rFonts w:ascii="Times New Roman" w:hAnsi="Times New Roman"/>
        </w:rPr>
        <w:t>Typology of Academic, Statutory, and Authoritative Sources in the Systematic Literature Database.</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15</w:t>
      </w:r>
    </w:p>
    <w:p w14:paraId="6552C6B8" w14:textId="2DDBE061" w:rsidR="00D42293" w:rsidRDefault="00000000">
      <w:pPr>
        <w:spacing w:before="20" w:after="40" w:line="320" w:lineRule="exact"/>
      </w:pPr>
      <w:r>
        <w:rPr>
          <w:rFonts w:ascii="Times New Roman" w:hAnsi="Times New Roman"/>
          <w:b/>
          <w:color w:val="003366"/>
        </w:rPr>
        <w:t xml:space="preserve">Table 2.3: </w:t>
      </w:r>
      <w:r>
        <w:rPr>
          <w:rFonts w:ascii="Times New Roman" w:hAnsi="Times New Roman"/>
        </w:rPr>
        <w:t>Comprehensive Literature Gap Analysis Mapped to MCIP Methodological Innovations.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31</w:t>
      </w:r>
    </w:p>
    <w:p w14:paraId="339E6A6B" w14:textId="54A2DB4E" w:rsidR="00D42293" w:rsidRDefault="00000000">
      <w:pPr>
        <w:spacing w:before="20" w:after="40" w:line="320" w:lineRule="exact"/>
      </w:pPr>
      <w:r>
        <w:rPr>
          <w:rFonts w:ascii="Times New Roman" w:hAnsi="Times New Roman"/>
          <w:b/>
          <w:color w:val="003366"/>
        </w:rPr>
        <w:t xml:space="preserve">Table 3.1: </w:t>
      </w:r>
      <w:r>
        <w:rPr>
          <w:rFonts w:ascii="Times New Roman" w:hAnsi="Times New Roman"/>
        </w:rPr>
        <w:t>Multi-Source Satellite Telemetry Specifications (Sentinel-1, Sentinel-2, NASA GEDI LiDAR).</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36</w:t>
      </w:r>
    </w:p>
    <w:p w14:paraId="5F656216" w14:textId="388FA889" w:rsidR="00D42293" w:rsidRDefault="00000000">
      <w:pPr>
        <w:spacing w:before="20" w:after="40" w:line="320" w:lineRule="exact"/>
      </w:pPr>
      <w:r>
        <w:rPr>
          <w:rFonts w:ascii="Times New Roman" w:hAnsi="Times New Roman"/>
          <w:b/>
          <w:color w:val="003366"/>
        </w:rPr>
        <w:t xml:space="preserve">Table 3.2: </w:t>
      </w:r>
      <w:r>
        <w:rPr>
          <w:rFonts w:ascii="Times New Roman" w:hAnsi="Times New Roman"/>
        </w:rPr>
        <w:t>Graph Edge Classification, Hydrological Basis, and Directional Weighting Mechanics.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58</w:t>
      </w:r>
    </w:p>
    <w:p w14:paraId="4F70D051" w14:textId="194274E1" w:rsidR="00D42293" w:rsidRDefault="00000000">
      <w:pPr>
        <w:spacing w:before="20" w:after="40" w:line="320" w:lineRule="exact"/>
      </w:pPr>
      <w:r>
        <w:rPr>
          <w:rFonts w:ascii="Times New Roman" w:hAnsi="Times New Roman"/>
          <w:b/>
          <w:color w:val="003366"/>
        </w:rPr>
        <w:t xml:space="preserve">Table 3.3: </w:t>
      </w:r>
      <w:r>
        <w:rPr>
          <w:rFonts w:ascii="Times New Roman" w:hAnsi="Times New Roman"/>
        </w:rPr>
        <w:t>Mangrove Health Score (MHS) Index Components, Weightings, and Ecological Rationale.</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62</w:t>
      </w:r>
    </w:p>
    <w:p w14:paraId="35F4839A" w14:textId="68EBD701" w:rsidR="00D42293" w:rsidRDefault="00000000">
      <w:pPr>
        <w:spacing w:before="20" w:after="40" w:line="320" w:lineRule="exact"/>
      </w:pPr>
      <w:r>
        <w:rPr>
          <w:rFonts w:ascii="Times New Roman" w:hAnsi="Times New Roman"/>
          <w:b/>
          <w:color w:val="003366"/>
        </w:rPr>
        <w:t xml:space="preserve">Table 3.4: </w:t>
      </w:r>
      <w:r>
        <w:rPr>
          <w:rFonts w:ascii="Times New Roman" w:hAnsi="Times New Roman"/>
        </w:rPr>
        <w:t>ST-GNN Architectural Ablation Baselines and Model Hypotheses.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63</w:t>
      </w:r>
    </w:p>
    <w:p w14:paraId="00696C10" w14:textId="5E3A2480" w:rsidR="00D42293" w:rsidRDefault="00000000">
      <w:pPr>
        <w:spacing w:before="20" w:after="40" w:line="320" w:lineRule="exact"/>
      </w:pPr>
      <w:r>
        <w:rPr>
          <w:rFonts w:ascii="Times New Roman" w:hAnsi="Times New Roman"/>
          <w:b/>
          <w:color w:val="003366"/>
        </w:rPr>
        <w:t xml:space="preserve">Table 4.1: </w:t>
      </w:r>
      <w:r>
        <w:rPr>
          <w:rFonts w:ascii="Times New Roman" w:hAnsi="Times New Roman"/>
        </w:rPr>
        <w:t>Firebase Firestore Database Schema and Document Organization.</w:t>
      </w:r>
      <w:r>
        <w:rPr>
          <w:rFonts w:ascii="Times New Roman" w:hAnsi="Times New Roman"/>
          <w:color w:val="969696"/>
          <w:sz w:val="20"/>
        </w:rPr>
        <w:t xml:space="preserve"> ..................................... </w:t>
      </w:r>
      <w:r>
        <w:rPr>
          <w:rFonts w:ascii="Times New Roman" w:hAnsi="Times New Roman"/>
          <w:b/>
        </w:rPr>
        <w:t>68</w:t>
      </w:r>
    </w:p>
    <w:p w14:paraId="67634F5E" w14:textId="550EF1E1" w:rsidR="00D42293" w:rsidRDefault="00000000">
      <w:pPr>
        <w:spacing w:before="20" w:after="40" w:line="320" w:lineRule="exact"/>
      </w:pPr>
      <w:r>
        <w:rPr>
          <w:rFonts w:ascii="Times New Roman" w:hAnsi="Times New Roman"/>
          <w:b/>
          <w:color w:val="003366"/>
        </w:rPr>
        <w:t xml:space="preserve">Table 5.1: </w:t>
      </w:r>
      <w:r>
        <w:rPr>
          <w:rFonts w:ascii="Times New Roman" w:hAnsi="Times New Roman"/>
        </w:rPr>
        <w:t>Stage 1 Deep ANN Pixel Classification Performance Metrics on Test Partition.</w:t>
      </w:r>
      <w:r>
        <w:rPr>
          <w:rFonts w:ascii="Times New Roman" w:hAnsi="Times New Roman"/>
          <w:color w:val="969696"/>
          <w:sz w:val="20"/>
        </w:rPr>
        <w:t xml:space="preserve"> .............. </w:t>
      </w:r>
      <w:r>
        <w:rPr>
          <w:rFonts w:ascii="Times New Roman" w:hAnsi="Times New Roman"/>
          <w:b/>
        </w:rPr>
        <w:t>90</w:t>
      </w:r>
    </w:p>
    <w:p w14:paraId="67E8B3C5" w14:textId="1374DF0B" w:rsidR="00D42293" w:rsidRDefault="00000000">
      <w:pPr>
        <w:spacing w:before="20" w:after="40" w:line="320" w:lineRule="exact"/>
      </w:pPr>
      <w:r>
        <w:rPr>
          <w:rFonts w:ascii="Times New Roman" w:hAnsi="Times New Roman"/>
          <w:b/>
          <w:color w:val="003366"/>
        </w:rPr>
        <w:t xml:space="preserve">Table 5.2: </w:t>
      </w:r>
      <w:r>
        <w:rPr>
          <w:rFonts w:ascii="Times New Roman" w:hAnsi="Times New Roman"/>
        </w:rPr>
        <w:t>Stage 3 NASA GEDI Neural Imputation Validation Results across 8 Structural Parameters.</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94</w:t>
      </w:r>
    </w:p>
    <w:p w14:paraId="654586FF" w14:textId="41F6B2AF" w:rsidR="00D42293" w:rsidRDefault="00000000">
      <w:pPr>
        <w:spacing w:before="20" w:after="40" w:line="320" w:lineRule="exact"/>
      </w:pPr>
      <w:r>
        <w:rPr>
          <w:rFonts w:ascii="Times New Roman" w:hAnsi="Times New Roman"/>
          <w:b/>
          <w:color w:val="003366"/>
        </w:rPr>
        <w:t xml:space="preserve">Table 5.3: </w:t>
      </w:r>
      <w:r>
        <w:rPr>
          <w:rFonts w:ascii="Times New Roman" w:hAnsi="Times New Roman"/>
        </w:rPr>
        <w:t>ST-GNN Carbon Sequestration Forecasting Performance vs Ablation Baselines.</w:t>
      </w:r>
      <w:r>
        <w:rPr>
          <w:rFonts w:ascii="Times New Roman" w:hAnsi="Times New Roman"/>
          <w:color w:val="969696"/>
          <w:sz w:val="20"/>
        </w:rPr>
        <w:t xml:space="preserve"> ............ </w:t>
      </w:r>
      <w:r>
        <w:rPr>
          <w:rFonts w:ascii="Times New Roman" w:hAnsi="Times New Roman"/>
          <w:b/>
        </w:rPr>
        <w:t>97</w:t>
      </w:r>
    </w:p>
    <w:p w14:paraId="3758DD32" w14:textId="054E2395" w:rsidR="00D42293" w:rsidRDefault="00000000">
      <w:pPr>
        <w:spacing w:before="20" w:after="40" w:line="320" w:lineRule="exact"/>
      </w:pPr>
      <w:r>
        <w:rPr>
          <w:rFonts w:ascii="Times New Roman" w:hAnsi="Times New Roman"/>
          <w:b/>
          <w:color w:val="003366"/>
        </w:rPr>
        <w:t xml:space="preserve">Table 6.1: </w:t>
      </w:r>
      <w:r>
        <w:rPr>
          <w:rFonts w:ascii="Times New Roman" w:hAnsi="Times New Roman"/>
        </w:rPr>
        <w:t>Economic Cost and Time Comparison: Traditional Field Auditing vs MCIP Automated Digital MRV.</w:t>
      </w:r>
      <w:r>
        <w:rPr>
          <w:rFonts w:ascii="Times New Roman" w:hAnsi="Times New Roman"/>
          <w:color w:val="969696"/>
          <w:sz w:val="20"/>
        </w:rPr>
        <w:t xml:space="preserve"> ...........................</w:t>
      </w:r>
      <w:r w:rsidR="00AE090D">
        <w:rPr>
          <w:rFonts w:ascii="Times New Roman" w:hAnsi="Times New Roman"/>
          <w:color w:val="969696"/>
          <w:sz w:val="20"/>
        </w:rPr>
        <w:t>.....................................................................................................................</w:t>
      </w:r>
      <w:r>
        <w:rPr>
          <w:rFonts w:ascii="Times New Roman" w:hAnsi="Times New Roman"/>
          <w:color w:val="969696"/>
          <w:sz w:val="20"/>
        </w:rPr>
        <w:t xml:space="preserve">.. </w:t>
      </w:r>
      <w:r>
        <w:rPr>
          <w:rFonts w:ascii="Times New Roman" w:hAnsi="Times New Roman"/>
          <w:b/>
        </w:rPr>
        <w:t>110</w:t>
      </w:r>
    </w:p>
    <w:p w14:paraId="672AAAF7" w14:textId="74210F90" w:rsidR="00D42293" w:rsidRDefault="00000000">
      <w:pPr>
        <w:spacing w:before="20" w:after="40" w:line="320" w:lineRule="exact"/>
      </w:pPr>
      <w:r>
        <w:rPr>
          <w:rFonts w:ascii="Times New Roman" w:hAnsi="Times New Roman"/>
          <w:b/>
          <w:color w:val="003366"/>
        </w:rPr>
        <w:t xml:space="preserve">Table 7.1: </w:t>
      </w:r>
      <w:r>
        <w:rPr>
          <w:rFonts w:ascii="Times New Roman" w:hAnsi="Times New Roman"/>
        </w:rPr>
        <w:t>Synthesis of Research Artefacts, Scientific Innovations, and Commercial Impacts.</w:t>
      </w:r>
      <w:r>
        <w:rPr>
          <w:rFonts w:ascii="Times New Roman" w:hAnsi="Times New Roman"/>
          <w:color w:val="969696"/>
          <w:sz w:val="20"/>
        </w:rPr>
        <w:t xml:space="preserve"> ...... </w:t>
      </w:r>
      <w:r>
        <w:rPr>
          <w:rFonts w:ascii="Times New Roman" w:hAnsi="Times New Roman"/>
          <w:b/>
        </w:rPr>
        <w:t>120</w:t>
      </w:r>
    </w:p>
    <w:p w14:paraId="6AEDC3D5" w14:textId="76C740EA" w:rsidR="00D42293" w:rsidRDefault="00000000">
      <w:pPr>
        <w:spacing w:before="20" w:after="40" w:line="320" w:lineRule="exact"/>
      </w:pPr>
      <w:r>
        <w:rPr>
          <w:rFonts w:ascii="Times New Roman" w:hAnsi="Times New Roman"/>
          <w:b/>
          <w:color w:val="003366"/>
        </w:rPr>
        <w:t xml:space="preserve">Table C.1: </w:t>
      </w:r>
      <w:r>
        <w:rPr>
          <w:rFonts w:ascii="Times New Roman" w:hAnsi="Times New Roman"/>
        </w:rPr>
        <w:t>Fourteen-Week Project Implementation Schedule and Work Breakdown Structure.</w:t>
      </w:r>
      <w:r>
        <w:rPr>
          <w:rFonts w:ascii="Times New Roman" w:hAnsi="Times New Roman"/>
          <w:color w:val="969696"/>
          <w:sz w:val="20"/>
        </w:rPr>
        <w:t xml:space="preserve"> ..... </w:t>
      </w:r>
      <w:r>
        <w:rPr>
          <w:rFonts w:ascii="Times New Roman" w:hAnsi="Times New Roman"/>
          <w:b/>
        </w:rPr>
        <w:t>139</w:t>
      </w:r>
    </w:p>
    <w:p w14:paraId="3E7EB71E" w14:textId="77777777" w:rsidR="00D42293" w:rsidRDefault="00000000">
      <w:r>
        <w:br w:type="page"/>
      </w:r>
    </w:p>
    <w:p w14:paraId="1E43D3BD" w14:textId="77777777" w:rsidR="00D42293" w:rsidRDefault="00000000">
      <w:pPr>
        <w:keepNext/>
        <w:spacing w:before="360" w:after="240"/>
      </w:pPr>
      <w:r>
        <w:rPr>
          <w:rFonts w:ascii="Times New Roman" w:hAnsi="Times New Roman"/>
          <w:b/>
          <w:color w:val="003366"/>
          <w:sz w:val="32"/>
        </w:rPr>
        <w:lastRenderedPageBreak/>
        <w:t>Chapter 1: Introduction</w:t>
      </w:r>
    </w:p>
    <w:p w14:paraId="2B1ECB55" w14:textId="77777777" w:rsidR="00D42293" w:rsidRDefault="00000000">
      <w:pPr>
        <w:keepNext/>
        <w:spacing w:before="280" w:after="120"/>
      </w:pPr>
      <w:r>
        <w:rPr>
          <w:rFonts w:ascii="Times New Roman" w:hAnsi="Times New Roman"/>
          <w:b/>
          <w:color w:val="005078"/>
          <w:sz w:val="26"/>
        </w:rPr>
        <w:t>1.1 Context and Background: Blue Carbon, Global Warming, and UAE Climate Mandates</w:t>
      </w:r>
    </w:p>
    <w:p w14:paraId="3223FA52" w14:textId="36E47C9C" w:rsidR="00085065" w:rsidRPr="00085065" w:rsidRDefault="00085065" w:rsidP="00085065">
      <w:pPr>
        <w:spacing w:after="120" w:line="360" w:lineRule="exact"/>
        <w:jc w:val="both"/>
        <w:rPr>
          <w:rFonts w:ascii="Times New Roman" w:hAnsi="Times New Roman"/>
          <w:sz w:val="24"/>
        </w:rPr>
      </w:pPr>
      <w:r w:rsidRPr="00085065">
        <w:rPr>
          <w:rFonts w:ascii="Times New Roman" w:hAnsi="Times New Roman"/>
          <w:sz w:val="24"/>
        </w:rPr>
        <w:t>The rapid acceleration of anthropogenic greenhouse gas emissions and global warming is the fundamental existential challenge of the twenty-first century. As per IPCC Sixth Assessment Reports (2021, 2023) and UNEP Emissions Gap Report (2023), global surface temperatures are already 1.15°C above pre-industrial levels and are set to breach the crucial 1.5°C threshold within decades if emissions are not drastically reduced. The Paris Agreement (UNFCCC, 2015) aims to reduce global carbon emissions by 43% by 2030 and achieve net-zero by 2050 to avoid catastrophic climate change impacts, including extreme sea-level rise, marine heat-waves, and mass extinction events. Achieving these ambitious decarbonisation targets will require not only a rapid transition away from fossil fuels in industry and towards low-carbon sources of energy but also massive efforts to conserve and restore natural biological carbon stores such as coastal wetlands and marine habitats that act as 'blue carbon' sinks.</w:t>
      </w:r>
    </w:p>
    <w:p w14:paraId="16DDC9D9" w14:textId="77777777" w:rsidR="00085065" w:rsidRDefault="00085065" w:rsidP="00085065">
      <w:pPr>
        <w:spacing w:after="120" w:line="360" w:lineRule="exact"/>
        <w:jc w:val="both"/>
        <w:rPr>
          <w:rFonts w:ascii="Times New Roman" w:hAnsi="Times New Roman"/>
          <w:sz w:val="24"/>
        </w:rPr>
      </w:pPr>
      <w:r w:rsidRPr="00085065">
        <w:rPr>
          <w:rFonts w:ascii="Times New Roman" w:hAnsi="Times New Roman"/>
          <w:sz w:val="24"/>
        </w:rPr>
        <w:t>Mangrove forests (mostly Avicennia marina in the Arabian Gulf), seagrass meadows and tidal salt marshes have carbon sequestration potential that far exceeds that of terrestrial biomes. Ecological syntheses (Alongi, 2014, 2020; Donato et al., 2011; Murdiyarso et al., 2015) reveal that coastal mangroves sequester organic carbon at aerial rates three to five times greater per hectare than mature tropical rainforests. While terrestrial trees store the bulk of their carbon stock in above-ground woody biomass (vulnerable to wildfire, pests and climate degradation), mangroves hoard large organic carbon deposits in deep anoxic saline sediments. The saline and waterlogged conditions prevent microbial decomposition, allowing carbon sediments to be safely sequestered for hundreds to thousands years (Atwood et al., 2017). Consequently, blue carbon has been formally codified within the IPCC 2013 Wetlands Supplement as a key mechanism for national greenhouse gas accounting and Nationally Determined Contributions (NDCs).</w:t>
      </w:r>
    </w:p>
    <w:p w14:paraId="2E214717" w14:textId="77777777" w:rsidR="00093EE3" w:rsidRPr="00093EE3" w:rsidRDefault="00093EE3" w:rsidP="00093EE3">
      <w:pPr>
        <w:spacing w:after="120" w:line="360" w:lineRule="exact"/>
        <w:jc w:val="both"/>
        <w:rPr>
          <w:rFonts w:ascii="Times New Roman" w:hAnsi="Times New Roman"/>
          <w:sz w:val="24"/>
        </w:rPr>
      </w:pPr>
      <w:r w:rsidRPr="00093EE3">
        <w:rPr>
          <w:rFonts w:ascii="Times New Roman" w:hAnsi="Times New Roman"/>
          <w:sz w:val="24"/>
        </w:rPr>
        <w:t xml:space="preserve">Within this international climate paradigm, UAE is an ambitious pioneer in marine nature-based solutions. At COP26 in Glasgow and COP27 in Sharm El Sheikh, the UAE more than tripled down on its commitment to plant 100 million mangroves by 2030 (up from the initial 30 million goal) (MOCCAE, 2021; The National, 2022; WAM, 2022). Led by the Ministry of Climate Change and Environment (MOCCAE, 2023), through the Mangrove Alliance for Climate (MAC) platform (with Indonesia), the UAE’s national afforestation campaign targets </w:t>
      </w:r>
      <w:r w:rsidRPr="00093EE3">
        <w:rPr>
          <w:rFonts w:ascii="Times New Roman" w:hAnsi="Times New Roman"/>
          <w:sz w:val="24"/>
        </w:rPr>
        <w:lastRenderedPageBreak/>
        <w:t>to plant mangroves across 483 square kilometers of coastal lagoons (sequestering over 400,000 tonnes of CO2 equivalent at maturity).</w:t>
      </w:r>
    </w:p>
    <w:p w14:paraId="51805E5E" w14:textId="6BB91A66" w:rsidR="00085065" w:rsidRPr="00093EE3" w:rsidRDefault="00093EE3" w:rsidP="00093EE3">
      <w:pPr>
        <w:spacing w:after="120" w:line="360" w:lineRule="exact"/>
        <w:jc w:val="both"/>
        <w:rPr>
          <w:rFonts w:ascii="Times New Roman" w:hAnsi="Times New Roman"/>
          <w:sz w:val="24"/>
        </w:rPr>
      </w:pPr>
      <w:r w:rsidRPr="00093EE3">
        <w:rPr>
          <w:rFonts w:ascii="Times New Roman" w:hAnsi="Times New Roman"/>
          <w:sz w:val="24"/>
        </w:rPr>
        <w:t>In parallel, the UAE government has been taking ambitious steps to promote corporate climate responsibility through progressive legal and economic policy adjustments. Through Federal Decree-Law No. 11 of 2023 on Protection and Development of the Environment (UAE Government, 2023), the UAE became the first Arab country to regulate industrial greenhouse gas emissions by obliging large business entities to conduct mandatory environmental auditing and official carbon credit offsetting. In particular, under the UAE Climate-Responsible Companies Pledge (MOCCAE, 2022) large national and private business entities (including Emirates Global Aluminium, Etihad Airways, and other key industrial players) are obliged to monitor and report on their emissions-reduction performance, purchasing carbon offsets for their unabated emissions (UAE Climate Change Council, 2023). In addition, ADGM (2022) and DFM mandated the creation of the world’s first carbon exchange listing carbon credits as Environmental Instruments issued by the regulator. In short, while the UAE’s regulatory and economic environment is rapidly evolving and tightening around net-zero goals, compliance with these tightening standards is currently disadvantaged by one technical particularity</w:t>
      </w:r>
      <w:r>
        <w:rPr>
          <w:rFonts w:ascii="Times New Roman" w:hAnsi="Times New Roman"/>
          <w:sz w:val="24"/>
        </w:rPr>
        <w:t xml:space="preserve"> -</w:t>
      </w:r>
      <w:r w:rsidRPr="00093EE3">
        <w:rPr>
          <w:rFonts w:ascii="Times New Roman" w:hAnsi="Times New Roman"/>
          <w:sz w:val="24"/>
        </w:rPr>
        <w:t xml:space="preserve"> the need to adopt standardized MRV (Measurement, Reporting, and Verification) protocols.</w:t>
      </w:r>
    </w:p>
    <w:p w14:paraId="59AD45B4" w14:textId="77777777" w:rsidR="00D42293" w:rsidRDefault="00000000">
      <w:pPr>
        <w:keepNext/>
        <w:spacing w:before="280" w:after="120"/>
      </w:pPr>
      <w:r>
        <w:rPr>
          <w:rFonts w:ascii="Times New Roman" w:hAnsi="Times New Roman"/>
          <w:b/>
          <w:color w:val="005078"/>
          <w:sz w:val="26"/>
        </w:rPr>
        <w:t>1.2 The Problem Statement: The Blue Carbon MRV Bottleneck</w:t>
      </w:r>
    </w:p>
    <w:p w14:paraId="6757DEE8" w14:textId="0A15BF9B" w:rsidR="00D42293" w:rsidRDefault="00093EE3">
      <w:pPr>
        <w:spacing w:after="120" w:line="360" w:lineRule="exact"/>
        <w:jc w:val="both"/>
      </w:pPr>
      <w:r w:rsidRPr="00093EE3">
        <w:rPr>
          <w:rFonts w:ascii="Times New Roman" w:hAnsi="Times New Roman"/>
          <w:sz w:val="24"/>
        </w:rPr>
        <w:t>Despite the enormous economic and environmental potential of blue carbon, the international carbon credit market is limited by outdated, manual methods of Monitoring, Reporting, and Verification (MRV). In order for a project to register carbon credits on premier carbon registries such as Verra (Methodology VM0033 for Tidal Wetland and Seagrass Restoration) developers must provide undeniable scientific evidence that satisfies two essential regulatory criteria</w:t>
      </w:r>
      <w:r>
        <w:rPr>
          <w:rFonts w:ascii="Times New Roman" w:hAnsi="Times New Roman"/>
          <w:sz w:val="24"/>
        </w:rPr>
        <w:t>:</w:t>
      </w:r>
    </w:p>
    <w:p w14:paraId="310F664A" w14:textId="317CF4A5" w:rsidR="00D42293" w:rsidRPr="00093EE3" w:rsidRDefault="00000000">
      <w:pPr>
        <w:pStyle w:val="ListBullet"/>
        <w:spacing w:before="40" w:after="60" w:line="360" w:lineRule="exact"/>
        <w:ind w:left="576"/>
        <w:rPr>
          <w:rFonts w:ascii="Times New Roman" w:hAnsi="Times New Roman"/>
          <w:sz w:val="24"/>
        </w:rPr>
      </w:pPr>
      <w:r>
        <w:rPr>
          <w:rFonts w:ascii="Times New Roman" w:hAnsi="Times New Roman"/>
          <w:b/>
          <w:sz w:val="24"/>
        </w:rPr>
        <w:t xml:space="preserve">Additionality: </w:t>
      </w:r>
      <w:r w:rsidR="00093EE3" w:rsidRPr="00093EE3">
        <w:rPr>
          <w:rFonts w:ascii="Times New Roman" w:hAnsi="Times New Roman"/>
          <w:sz w:val="24"/>
        </w:rPr>
        <w:t>Evidence that the carbon stored within the project boundary has been sequestered via active conservation or afforestation intervention, and would not have accrued under an alternate 'business-as-usual' natural ecological trajectory.</w:t>
      </w:r>
    </w:p>
    <w:p w14:paraId="66E7EEDC" w14:textId="7C5DF766" w:rsidR="00093EE3" w:rsidRDefault="00000000" w:rsidP="00093EE3">
      <w:pPr>
        <w:pStyle w:val="ListBullet"/>
        <w:spacing w:before="40" w:after="60" w:line="360" w:lineRule="exact"/>
        <w:ind w:left="576"/>
      </w:pPr>
      <w:r>
        <w:rPr>
          <w:rFonts w:ascii="Times New Roman" w:hAnsi="Times New Roman"/>
          <w:b/>
          <w:sz w:val="24"/>
        </w:rPr>
        <w:t xml:space="preserve">Permanence: </w:t>
      </w:r>
      <w:r w:rsidR="00093EE3" w:rsidRPr="00093EE3">
        <w:rPr>
          <w:rFonts w:ascii="Times New Roman" w:hAnsi="Times New Roman"/>
          <w:sz w:val="24"/>
        </w:rPr>
        <w:t>Demonstration that the accumulated carbon stocks within the system are permanently sequestered over decadal (30-100 year) time-frames with reliable monitoring systems in place to identify and respond to reversal events (dieback, illicit clearance, dredging, hypersaline toxicity).</w:t>
      </w:r>
    </w:p>
    <w:p w14:paraId="6AC359E4" w14:textId="77777777" w:rsidR="00093EE3" w:rsidRPr="00093EE3" w:rsidRDefault="00093EE3" w:rsidP="00093EE3">
      <w:pPr>
        <w:spacing w:after="120" w:line="360" w:lineRule="exact"/>
        <w:jc w:val="both"/>
        <w:rPr>
          <w:rFonts w:ascii="Times New Roman" w:hAnsi="Times New Roman"/>
          <w:sz w:val="24"/>
        </w:rPr>
      </w:pPr>
      <w:r w:rsidRPr="00093EE3">
        <w:rPr>
          <w:rFonts w:ascii="Times New Roman" w:hAnsi="Times New Roman"/>
          <w:sz w:val="24"/>
        </w:rPr>
        <w:t xml:space="preserve">The fundamental scientific challenge with validating blue carbon additionality involves the biogeochemical difference between autochthonous (internally-sourced) and allochthonous </w:t>
      </w:r>
      <w:r w:rsidRPr="00093EE3">
        <w:rPr>
          <w:rFonts w:ascii="Times New Roman" w:hAnsi="Times New Roman"/>
          <w:sz w:val="24"/>
        </w:rPr>
        <w:lastRenderedPageBreak/>
        <w:t>(externally-sourced) carbon (Hamilton and Friess, 2018; Macreadie et al., 2021). Autochthonous carbon represents organic matter directly derived from the mangrove tree, from photosynthetic production of leaves, roots, and branches. Allochthonous carbon represents organic matter, detritus and marine sediment which have been transported into the mangrove patch by intertidal currents and tides, originating from outside the tree's zone of influence. Verra VM0033 specifically excludes allochthonous carbon from project additionality claims, unless carefully accounted for, since the project developer cannot take credit for carbon fixed outside their afforestation boundary.</w:t>
      </w:r>
    </w:p>
    <w:p w14:paraId="60A56DCF" w14:textId="635C7637" w:rsidR="00093EE3" w:rsidRDefault="00093EE3" w:rsidP="00093EE3">
      <w:pPr>
        <w:spacing w:after="120" w:line="360" w:lineRule="exact"/>
        <w:jc w:val="both"/>
      </w:pPr>
      <w:r w:rsidRPr="00093EE3">
        <w:rPr>
          <w:rFonts w:ascii="Times New Roman" w:hAnsi="Times New Roman"/>
          <w:sz w:val="24"/>
        </w:rPr>
        <w:t>Under current industrial practice, distinguishing between autochthonous and allochthonous mangrove carbon requires an extensive and destructive field campaign. Teams of workers must wade into intertidal mudflats in order to manually extract sediment core samples, which are then shipped to biochemical laboratories for stable carbon isotope analysis (δ13C and 14C isotope mass spectrometry). This conventional methodology suffers from four catastrophic bottlenecks:</w:t>
      </w:r>
    </w:p>
    <w:p w14:paraId="1C130545" w14:textId="79184014" w:rsidR="00D42293" w:rsidRDefault="00000000">
      <w:pPr>
        <w:spacing w:before="40" w:after="60" w:line="360" w:lineRule="exact"/>
        <w:ind w:left="576"/>
      </w:pPr>
      <w:r>
        <w:rPr>
          <w:rFonts w:ascii="Times New Roman" w:hAnsi="Times New Roman"/>
          <w:b/>
          <w:sz w:val="24"/>
        </w:rPr>
        <w:t xml:space="preserve">1. Prohibitive Financial Costs:  </w:t>
      </w:r>
      <w:r w:rsidR="00553610" w:rsidRPr="00553610">
        <w:rPr>
          <w:rFonts w:ascii="Times New Roman" w:hAnsi="Times New Roman"/>
          <w:sz w:val="24"/>
        </w:rPr>
        <w:t>A standard field-sampling and isotopic testing campaign for a regional mangrove assessment already costs $150,000 and $350,000 USD per inventory audit. For developing nations or smaller-scale reforestation efforts, verification costs consume up to 70% of projected carbon credit revenues, rendering conservation economics unviable at the community level.</w:t>
      </w:r>
    </w:p>
    <w:p w14:paraId="20BDF70B" w14:textId="227EFB2D" w:rsidR="00D42293" w:rsidRDefault="00000000">
      <w:pPr>
        <w:spacing w:before="40" w:after="60" w:line="360" w:lineRule="exact"/>
        <w:ind w:left="576"/>
      </w:pPr>
      <w:r>
        <w:rPr>
          <w:rFonts w:ascii="Times New Roman" w:hAnsi="Times New Roman"/>
          <w:b/>
          <w:sz w:val="24"/>
        </w:rPr>
        <w:t xml:space="preserve">2. Severe Temporal Latency:  </w:t>
      </w:r>
      <w:r w:rsidR="00553610" w:rsidRPr="00553610">
        <w:rPr>
          <w:rFonts w:ascii="Times New Roman" w:hAnsi="Times New Roman"/>
          <w:sz w:val="24"/>
        </w:rPr>
        <w:t>From core extraction to international lab processing to third-party verification, mangrove monitoring campaigns have a 6-18 month lag between field surveys. During this window, entire stands can die or be lost to anthropogenic activity with no carbon market recourse.</w:t>
      </w:r>
    </w:p>
    <w:p w14:paraId="32BB25B5" w14:textId="39955B05" w:rsidR="00D42293" w:rsidRDefault="00000000">
      <w:pPr>
        <w:spacing w:before="40" w:after="60" w:line="360" w:lineRule="exact"/>
        <w:ind w:left="576"/>
      </w:pPr>
      <w:r>
        <w:rPr>
          <w:rFonts w:ascii="Times New Roman" w:hAnsi="Times New Roman"/>
          <w:b/>
          <w:sz w:val="24"/>
        </w:rPr>
        <w:t xml:space="preserve">3. Physical and Destructive Footprint:  </w:t>
      </w:r>
      <w:r w:rsidR="00553610" w:rsidRPr="00553610">
        <w:rPr>
          <w:rFonts w:ascii="Times New Roman" w:hAnsi="Times New Roman"/>
          <w:sz w:val="24"/>
        </w:rPr>
        <w:t>Invasive coring and branch sampling decimates the very root systems (pneumatophores) and benthic habitats that conservation efforts seek to protect.</w:t>
      </w:r>
    </w:p>
    <w:p w14:paraId="29EC0B56" w14:textId="77777777" w:rsidR="00B97489" w:rsidRDefault="00000000" w:rsidP="00B97489">
      <w:pPr>
        <w:spacing w:before="40" w:after="60" w:line="360" w:lineRule="exact"/>
        <w:ind w:left="576"/>
        <w:rPr>
          <w:rFonts w:ascii="Times New Roman" w:hAnsi="Times New Roman"/>
          <w:sz w:val="24"/>
        </w:rPr>
      </w:pPr>
      <w:r>
        <w:rPr>
          <w:rFonts w:ascii="Times New Roman" w:hAnsi="Times New Roman"/>
          <w:b/>
          <w:sz w:val="24"/>
        </w:rPr>
        <w:t xml:space="preserve">4. Spatial Fragmentation and Inability to Scale:  </w:t>
      </w:r>
      <w:r w:rsidR="00553610" w:rsidRPr="00553610">
        <w:rPr>
          <w:rFonts w:ascii="Times New Roman" w:hAnsi="Times New Roman"/>
          <w:sz w:val="24"/>
        </w:rPr>
        <w:t xml:space="preserve">The UAE coastline is anything but homogeneous </w:t>
      </w:r>
      <w:r w:rsidR="00B97489">
        <w:rPr>
          <w:rFonts w:ascii="Times New Roman" w:hAnsi="Times New Roman"/>
          <w:sz w:val="24"/>
        </w:rPr>
        <w:t>-</w:t>
      </w:r>
      <w:r w:rsidR="00553610" w:rsidRPr="00553610">
        <w:rPr>
          <w:rFonts w:ascii="Times New Roman" w:hAnsi="Times New Roman"/>
          <w:sz w:val="24"/>
        </w:rPr>
        <w:t xml:space="preserve"> it is punctuated by salt pans, offshore islands, lagoons, and an advancing metropolis. </w:t>
      </w:r>
      <w:r w:rsidR="00B97489" w:rsidRPr="00553610">
        <w:rPr>
          <w:rFonts w:ascii="Times New Roman" w:hAnsi="Times New Roman"/>
          <w:sz w:val="24"/>
        </w:rPr>
        <w:t>Inferring</w:t>
      </w:r>
      <w:r w:rsidR="00553610" w:rsidRPr="00553610">
        <w:rPr>
          <w:rFonts w:ascii="Times New Roman" w:hAnsi="Times New Roman"/>
          <w:sz w:val="24"/>
        </w:rPr>
        <w:t xml:space="preserve"> findings from a few hundred core samples across 100M trees in hundreds of patches will introduce unacceptable error margins.</w:t>
      </w:r>
    </w:p>
    <w:p w14:paraId="13B254C5" w14:textId="77777777" w:rsidR="00B97489" w:rsidRDefault="00B97489" w:rsidP="00B97489">
      <w:pPr>
        <w:spacing w:before="40" w:after="60" w:line="360" w:lineRule="exact"/>
        <w:rPr>
          <w:rFonts w:ascii="Times New Roman" w:hAnsi="Times New Roman"/>
          <w:sz w:val="24"/>
          <w:lang w:val="en-IN"/>
        </w:rPr>
      </w:pPr>
    </w:p>
    <w:p w14:paraId="6D90E0EB" w14:textId="0CBB9791" w:rsidR="00B97489" w:rsidRPr="00B97489" w:rsidRDefault="00B97489" w:rsidP="00B97489">
      <w:pPr>
        <w:spacing w:before="40" w:after="60" w:line="360" w:lineRule="exact"/>
        <w:rPr>
          <w:rFonts w:ascii="Times New Roman" w:hAnsi="Times New Roman"/>
          <w:sz w:val="24"/>
        </w:rPr>
      </w:pPr>
      <w:r w:rsidRPr="00B97489">
        <w:rPr>
          <w:rFonts w:ascii="Times New Roman" w:hAnsi="Times New Roman"/>
          <w:sz w:val="24"/>
          <w:lang w:val="en-IN"/>
        </w:rPr>
        <w:t>In addition to the four leverage points above, standard Earth Observation practices fail mangrove conservation in two additional ways:</w:t>
      </w:r>
    </w:p>
    <w:p w14:paraId="6A119613" w14:textId="782B45D1" w:rsidR="00B97489" w:rsidRPr="00B97489" w:rsidRDefault="00B97489" w:rsidP="00B97489">
      <w:pPr>
        <w:keepNext/>
        <w:spacing w:before="280" w:after="120"/>
        <w:rPr>
          <w:rFonts w:ascii="Times New Roman" w:hAnsi="Times New Roman"/>
          <w:sz w:val="24"/>
          <w:lang w:val="en-IN"/>
        </w:rPr>
      </w:pPr>
      <w:r w:rsidRPr="00B97489">
        <w:rPr>
          <w:rFonts w:ascii="Times New Roman" w:hAnsi="Times New Roman"/>
          <w:sz w:val="24"/>
          <w:lang w:val="en-IN"/>
        </w:rPr>
        <w:lastRenderedPageBreak/>
        <w:t>While standard 2D optical satellite imaging (Landsat, Sentinel-2) has value for surface reflectance, it is insufficient for 3D mangrove biomass estimation and fundamentally incapable of modeling the connectivity of a mangrove ecosystem. The reason: 1) 2D optical imaging cannot determine height of canopy or individual tree volume and 2) standard Convolutional Neural Networks (CNNs) process an image as a grid of independent pixels without understanding the hydrodynamic connection between pixels. In effect, a CNN analyzing a mangrove under these conditions would fail to comprehend the exchange of suspended sediment and nutrients between connected patches of vegetation. To put it another way</w:t>
      </w:r>
      <w:r>
        <w:rPr>
          <w:rFonts w:ascii="Times New Roman" w:hAnsi="Times New Roman"/>
          <w:sz w:val="24"/>
          <w:lang w:val="en-IN"/>
        </w:rPr>
        <w:t>,</w:t>
      </w:r>
      <w:r w:rsidRPr="00B97489">
        <w:rPr>
          <w:rFonts w:ascii="Times New Roman" w:hAnsi="Times New Roman"/>
          <w:sz w:val="24"/>
          <w:lang w:val="en-IN"/>
        </w:rPr>
        <w:t xml:space="preserve"> pixels processed individually cannot understand the flow of capital between ecosystems.</w:t>
      </w:r>
    </w:p>
    <w:p w14:paraId="7E1E3899" w14:textId="77777777" w:rsidR="00D42293" w:rsidRDefault="00000000">
      <w:pPr>
        <w:keepNext/>
        <w:spacing w:before="280" w:after="120"/>
      </w:pPr>
      <w:r>
        <w:rPr>
          <w:rFonts w:ascii="Times New Roman" w:hAnsi="Times New Roman"/>
          <w:b/>
          <w:color w:val="005078"/>
          <w:sz w:val="26"/>
        </w:rPr>
        <w:t>1.3 Research Aim and Objectives</w:t>
      </w:r>
    </w:p>
    <w:p w14:paraId="530F83BC" w14:textId="1E13C57C" w:rsidR="00B97489" w:rsidRDefault="00B97489">
      <w:pPr>
        <w:spacing w:after="120" w:line="360" w:lineRule="exact"/>
        <w:jc w:val="both"/>
        <w:rPr>
          <w:rFonts w:ascii="Times New Roman" w:hAnsi="Times New Roman"/>
          <w:sz w:val="24"/>
        </w:rPr>
      </w:pPr>
      <w:r w:rsidRPr="00B97489">
        <w:rPr>
          <w:rFonts w:ascii="Times New Roman" w:hAnsi="Times New Roman"/>
          <w:sz w:val="24"/>
        </w:rPr>
        <w:t>The main aim of this dissertation is to design, develop and evaluate the Mangrove Carbon Intelligence Platform (MCIP), an automated and highly verifiable blue carbon MRV platform which employs multi-source satellite remote sensing, transfer-learned neural imputation, and Spatio-Temporal Graph Neural Networks to provide continuous and auditor-ready carbon accounting of arid coastal mangrove ecosystems, scaling from academic research to a production-grade software product.</w:t>
      </w:r>
    </w:p>
    <w:p w14:paraId="66BAA152" w14:textId="306A45CC" w:rsidR="00D42293" w:rsidRDefault="00B97489">
      <w:pPr>
        <w:spacing w:after="120" w:line="360" w:lineRule="exact"/>
        <w:jc w:val="both"/>
      </w:pPr>
      <w:r w:rsidRPr="00B97489">
        <w:rPr>
          <w:rFonts w:ascii="Times New Roman" w:hAnsi="Times New Roman"/>
          <w:sz w:val="24"/>
        </w:rPr>
        <w:t>To accomplish this research aim, six specific, measurable objectives have been defined (O1 to O6):</w:t>
      </w:r>
    </w:p>
    <w:p w14:paraId="20CBAF3E" w14:textId="215CB24A" w:rsidR="00D42293" w:rsidRDefault="00000000">
      <w:pPr>
        <w:pStyle w:val="ListBullet"/>
        <w:spacing w:before="40" w:after="60" w:line="360" w:lineRule="exact"/>
        <w:ind w:left="576"/>
      </w:pPr>
      <w:r>
        <w:rPr>
          <w:rFonts w:ascii="Times New Roman" w:hAnsi="Times New Roman"/>
          <w:b/>
          <w:sz w:val="24"/>
        </w:rPr>
        <w:t xml:space="preserve">Objective O1 (Data Engineering &amp; Pixel Classification): </w:t>
      </w:r>
      <w:r w:rsidR="00B97489" w:rsidRPr="00B97489">
        <w:rPr>
          <w:rFonts w:ascii="Times New Roman" w:hAnsi="Times New Roman"/>
          <w:sz w:val="24"/>
        </w:rPr>
        <w:t>To construct an automated data ingestion and radiometric processing pipeline which merges Sentinel-1 SAR and Sentinel-2 multispectral imagery and addresses the severe arid coastal class imbalance via the RandomUnderSampler, training an Artificial Neural Network to classify coastal mangrove pixels across the UAE with &gt;99% accuracy.</w:t>
      </w:r>
    </w:p>
    <w:p w14:paraId="410E98F1" w14:textId="0B4512C4" w:rsidR="00D42293" w:rsidRDefault="00000000">
      <w:pPr>
        <w:pStyle w:val="ListBullet"/>
        <w:spacing w:before="40" w:after="60" w:line="360" w:lineRule="exact"/>
        <w:ind w:left="576"/>
      </w:pPr>
      <w:r>
        <w:rPr>
          <w:rFonts w:ascii="Times New Roman" w:hAnsi="Times New Roman"/>
          <w:b/>
          <w:sz w:val="24"/>
        </w:rPr>
        <w:t xml:space="preserve">Objective O2 (LiDAR Neural Imputation via Transfer Learning): </w:t>
      </w:r>
      <w:r w:rsidR="00E278F1" w:rsidRPr="00E278F1">
        <w:rPr>
          <w:rFonts w:ascii="Times New Roman" w:hAnsi="Times New Roman"/>
          <w:sz w:val="24"/>
        </w:rPr>
        <w:t xml:space="preserve">To overcome the spatial sparsity of NASA GEDI spaceborne LiDAR over the </w:t>
      </w:r>
      <w:r w:rsidR="005866F6" w:rsidRPr="00E278F1">
        <w:rPr>
          <w:rFonts w:ascii="Times New Roman" w:hAnsi="Times New Roman"/>
          <w:sz w:val="24"/>
        </w:rPr>
        <w:t>semitropical</w:t>
      </w:r>
      <w:r w:rsidR="00E278F1" w:rsidRPr="00E278F1">
        <w:rPr>
          <w:rFonts w:ascii="Times New Roman" w:hAnsi="Times New Roman"/>
          <w:sz w:val="24"/>
        </w:rPr>
        <w:t xml:space="preserve"> Arabian Gulf, we develop a multi-target deep neural imputation architecture which is pre-trained on dense equatorial GEDI returns from the Sundarbans forest in Bangladesh and predicts eight critical 3D canopy structural parameters from 27 Sentinel features.</w:t>
      </w:r>
    </w:p>
    <w:p w14:paraId="680E30F6" w14:textId="4EA6896B" w:rsidR="00D42293" w:rsidRDefault="00000000">
      <w:pPr>
        <w:pStyle w:val="ListBullet"/>
        <w:spacing w:before="40" w:after="60" w:line="360" w:lineRule="exact"/>
        <w:ind w:left="576"/>
      </w:pPr>
      <w:r>
        <w:rPr>
          <w:rFonts w:ascii="Times New Roman" w:hAnsi="Times New Roman"/>
          <w:b/>
          <w:sz w:val="24"/>
        </w:rPr>
        <w:t xml:space="preserve">Objective O3 (Topological Graph Construction): </w:t>
      </w:r>
      <w:r w:rsidR="00E278F1" w:rsidRPr="00E278F1">
        <w:rPr>
          <w:rFonts w:ascii="Times New Roman" w:hAnsi="Times New Roman"/>
          <w:sz w:val="24"/>
        </w:rPr>
        <w:t xml:space="preserve">To </w:t>
      </w:r>
      <w:r w:rsidR="005866F6">
        <w:rPr>
          <w:rFonts w:ascii="Times New Roman" w:hAnsi="Times New Roman"/>
          <w:sz w:val="24"/>
        </w:rPr>
        <w:t>identify</w:t>
      </w:r>
      <w:r w:rsidR="00E278F1" w:rsidRPr="00E278F1">
        <w:rPr>
          <w:rFonts w:ascii="Times New Roman" w:hAnsi="Times New Roman"/>
          <w:sz w:val="24"/>
        </w:rPr>
        <w:t xml:space="preserve"> verified mangrove pixels into ecologically coherent spatial nodes via DBSCAN clustering and construct a directed graph in which edges encode hydrodynamic tidal gradients, geographical proximity and sedimental transport vectors encoding allochthonous flux</w:t>
      </w:r>
      <w:r>
        <w:rPr>
          <w:rFonts w:ascii="Times New Roman" w:hAnsi="Times New Roman"/>
          <w:sz w:val="24"/>
        </w:rPr>
        <w:t>.</w:t>
      </w:r>
    </w:p>
    <w:p w14:paraId="03793E4A" w14:textId="13DCE86D" w:rsidR="00D42293" w:rsidRDefault="00000000">
      <w:pPr>
        <w:pStyle w:val="ListBullet"/>
        <w:spacing w:before="40" w:after="60" w:line="360" w:lineRule="exact"/>
        <w:ind w:left="576"/>
      </w:pPr>
      <w:r>
        <w:rPr>
          <w:rFonts w:ascii="Times New Roman" w:hAnsi="Times New Roman"/>
          <w:b/>
          <w:sz w:val="24"/>
        </w:rPr>
        <w:t xml:space="preserve">Objective O4 (ST-GNN Carbon Sequestration Modeling): </w:t>
      </w:r>
      <w:r w:rsidR="005866F6" w:rsidRPr="005866F6">
        <w:rPr>
          <w:rFonts w:ascii="Times New Roman" w:hAnsi="Times New Roman"/>
          <w:sz w:val="24"/>
        </w:rPr>
        <w:t>To develop, train and validate an autoregressive Spatio-Temporal Graph Neural Network (ST-GNN) on a 68-</w:t>
      </w:r>
      <w:r w:rsidR="005866F6" w:rsidRPr="005866F6">
        <w:rPr>
          <w:rFonts w:ascii="Times New Roman" w:hAnsi="Times New Roman"/>
          <w:sz w:val="24"/>
        </w:rPr>
        <w:lastRenderedPageBreak/>
        <w:t xml:space="preserve">month temporal data cube (Jan 2021 to </w:t>
      </w:r>
      <w:r w:rsidR="005866F6">
        <w:rPr>
          <w:rFonts w:ascii="Times New Roman" w:hAnsi="Times New Roman"/>
          <w:sz w:val="24"/>
        </w:rPr>
        <w:t>Aug</w:t>
      </w:r>
      <w:r w:rsidR="005866F6" w:rsidRPr="005866F6">
        <w:rPr>
          <w:rFonts w:ascii="Times New Roman" w:hAnsi="Times New Roman"/>
          <w:sz w:val="24"/>
        </w:rPr>
        <w:t xml:space="preserve"> 2026), generating monthly carbon sequestration estimates (tCO2e) with 12-month forward forecasts with expanding confidence bands, benchmarked against Random Forest, LSTM and static GCN baseline</w:t>
      </w:r>
      <w:r>
        <w:rPr>
          <w:rFonts w:ascii="Times New Roman" w:hAnsi="Times New Roman"/>
          <w:sz w:val="24"/>
        </w:rPr>
        <w:t>s.</w:t>
      </w:r>
    </w:p>
    <w:p w14:paraId="5D574618" w14:textId="5651CCAA" w:rsidR="00D42293" w:rsidRDefault="00000000">
      <w:pPr>
        <w:pStyle w:val="ListBullet"/>
        <w:spacing w:before="40" w:after="60" w:line="360" w:lineRule="exact"/>
        <w:ind w:left="576"/>
      </w:pPr>
      <w:r>
        <w:rPr>
          <w:rFonts w:ascii="Times New Roman" w:hAnsi="Times New Roman"/>
          <w:b/>
          <w:sz w:val="24"/>
        </w:rPr>
        <w:t xml:space="preserve">Objective O5 (Explainable AI &amp; Regulatory Compliance): </w:t>
      </w:r>
      <w:r w:rsidR="005866F6" w:rsidRPr="005866F6">
        <w:rPr>
          <w:rFonts w:ascii="Times New Roman" w:hAnsi="Times New Roman"/>
          <w:sz w:val="24"/>
        </w:rPr>
        <w:t>To integrate a SHAP (SHapley Additive exPlanations) attribution engine with Google Genkit and Gemini 2.5 Flash large language, creating an interactive, auditor-ready XAI interface which interprets the mathematical graph representations as natural-language causal chains which satisfy Verra VM0033 Additionality and Permanence standards.</w:t>
      </w:r>
    </w:p>
    <w:p w14:paraId="7828DCCF" w14:textId="0DABBC74" w:rsidR="00D42293" w:rsidRDefault="00000000">
      <w:pPr>
        <w:pStyle w:val="ListBullet"/>
        <w:spacing w:before="40" w:after="60" w:line="360" w:lineRule="exact"/>
        <w:ind w:left="576"/>
      </w:pPr>
      <w:r>
        <w:rPr>
          <w:rFonts w:ascii="Times New Roman" w:hAnsi="Times New Roman"/>
          <w:b/>
          <w:sz w:val="24"/>
        </w:rPr>
        <w:t xml:space="preserve">Objective O6 (Platform Engineering &amp; Product Strategy): </w:t>
      </w:r>
      <w:r w:rsidR="005866F6" w:rsidRPr="005866F6">
        <w:rPr>
          <w:rFonts w:ascii="Times New Roman" w:hAnsi="Times New Roman"/>
          <w:sz w:val="24"/>
        </w:rPr>
        <w:t>To architect an enterprise-grade full-stack web application with Next.js 15 App Router and Firebase Firestore, incorporating a real-time GIS dashboard, dual alert engine (historical anomaly detection and 7-day predictive threat warnings), national carbon registry ledger and commercial SaaS roadmap.</w:t>
      </w:r>
    </w:p>
    <w:p w14:paraId="52ABE616" w14:textId="77777777" w:rsidR="00D42293" w:rsidRDefault="00000000">
      <w:pPr>
        <w:keepNext/>
        <w:spacing w:before="280" w:after="120"/>
      </w:pPr>
      <w:r>
        <w:rPr>
          <w:rFonts w:ascii="Times New Roman" w:hAnsi="Times New Roman"/>
          <w:b/>
          <w:color w:val="005078"/>
          <w:sz w:val="26"/>
        </w:rPr>
        <w:t>1.4 Research Questions and Hypotheses</w:t>
      </w:r>
    </w:p>
    <w:p w14:paraId="27A6C19F" w14:textId="5973A859" w:rsidR="00D42293" w:rsidRDefault="00134727">
      <w:pPr>
        <w:spacing w:after="120" w:line="360" w:lineRule="exact"/>
        <w:jc w:val="both"/>
      </w:pPr>
      <w:r w:rsidRPr="00134727">
        <w:rPr>
          <w:rFonts w:ascii="Times New Roman" w:hAnsi="Times New Roman"/>
          <w:sz w:val="24"/>
        </w:rPr>
        <w:t>This investigation is focused around one primary research question and three supporting sub-questions</w:t>
      </w:r>
      <w:r>
        <w:rPr>
          <w:rFonts w:ascii="Times New Roman" w:hAnsi="Times New Roman"/>
          <w:sz w:val="24"/>
        </w:rPr>
        <w:t>:</w:t>
      </w:r>
    </w:p>
    <w:p w14:paraId="3DD85C70" w14:textId="77777777" w:rsidR="00134727" w:rsidRDefault="00000000">
      <w:pPr>
        <w:spacing w:after="120" w:line="360" w:lineRule="exact"/>
        <w:jc w:val="both"/>
        <w:rPr>
          <w:rFonts w:ascii="Times New Roman" w:hAnsi="Times New Roman"/>
          <w:b/>
          <w:sz w:val="24"/>
        </w:rPr>
      </w:pPr>
      <w:r>
        <w:rPr>
          <w:rFonts w:ascii="Times New Roman" w:hAnsi="Times New Roman"/>
          <w:b/>
          <w:sz w:val="24"/>
        </w:rPr>
        <w:t xml:space="preserve">Central Research Question: </w:t>
      </w:r>
    </w:p>
    <w:p w14:paraId="435EAC41" w14:textId="4089A0A5" w:rsidR="00D42293" w:rsidRDefault="00134727">
      <w:pPr>
        <w:spacing w:after="120" w:line="360" w:lineRule="exact"/>
        <w:jc w:val="both"/>
        <w:rPr>
          <w:rFonts w:ascii="Times New Roman" w:hAnsi="Times New Roman"/>
          <w:b/>
          <w:bCs/>
          <w:i/>
          <w:iCs/>
          <w:sz w:val="24"/>
        </w:rPr>
      </w:pPr>
      <w:r w:rsidRPr="00134727">
        <w:rPr>
          <w:rFonts w:ascii="Times New Roman" w:hAnsi="Times New Roman"/>
          <w:b/>
          <w:sz w:val="24"/>
        </w:rPr>
        <w:t>“</w:t>
      </w:r>
      <w:r w:rsidRPr="00134727">
        <w:rPr>
          <w:rFonts w:ascii="Times New Roman" w:hAnsi="Times New Roman"/>
          <w:i/>
          <w:iCs/>
          <w:sz w:val="24"/>
        </w:rPr>
        <w:t>Can a Spatio-Temporal Graph Neural Network trained on multi-source satellite remote sensing and transfer-learned LiDAR imputation provide significantly more accurate, robust and auditor-verifiable monthly carbon sequestration estimates and 12-month forward projections for arid coastal mangroves than non-spatial and non-temporal baseline models?</w:t>
      </w:r>
      <w:r w:rsidRPr="00134727">
        <w:rPr>
          <w:rFonts w:ascii="Times New Roman" w:hAnsi="Times New Roman"/>
          <w:b/>
          <w:bCs/>
          <w:i/>
          <w:iCs/>
          <w:sz w:val="24"/>
        </w:rPr>
        <w:t>”</w:t>
      </w:r>
    </w:p>
    <w:p w14:paraId="2DB688D9" w14:textId="2D752C3E" w:rsidR="00134727" w:rsidRPr="00134727" w:rsidRDefault="00134727">
      <w:pPr>
        <w:spacing w:after="120" w:line="360" w:lineRule="exact"/>
        <w:jc w:val="both"/>
        <w:rPr>
          <w:rFonts w:ascii="Times New Roman" w:hAnsi="Times New Roman"/>
          <w:sz w:val="24"/>
        </w:rPr>
      </w:pPr>
      <w:r w:rsidRPr="00134727">
        <w:rPr>
          <w:rFonts w:ascii="Times New Roman" w:hAnsi="Times New Roman"/>
          <w:sz w:val="24"/>
        </w:rPr>
        <w:t>And the following three sub-questions:</w:t>
      </w:r>
    </w:p>
    <w:p w14:paraId="22031BFF" w14:textId="77777777" w:rsidR="00D42293" w:rsidRDefault="00000000">
      <w:pPr>
        <w:pStyle w:val="ListBullet"/>
        <w:spacing w:before="40" w:after="60" w:line="360" w:lineRule="exact"/>
        <w:ind w:left="576"/>
      </w:pPr>
      <w:r>
        <w:rPr>
          <w:rFonts w:ascii="Times New Roman" w:hAnsi="Times New Roman"/>
          <w:b/>
          <w:sz w:val="24"/>
        </w:rPr>
        <w:t xml:space="preserve">Sub-Question 1 (Imputation Feasibility): </w:t>
      </w:r>
      <w:r>
        <w:rPr>
          <w:rFonts w:ascii="Times New Roman" w:hAnsi="Times New Roman"/>
          <w:sz w:val="24"/>
        </w:rPr>
        <w:t>To what extent can deep neural transfer learning from an equatorial, data-dense biome (Sundarbans, Bangladesh) accurately impute missing 3D canopy structural metrics (rh100, PAI, Biomass) in an arid, data-sparse subtropical biome (UAE)?</w:t>
      </w:r>
    </w:p>
    <w:p w14:paraId="6C55CC11" w14:textId="441DF67E" w:rsidR="00D42293" w:rsidRDefault="00000000">
      <w:pPr>
        <w:pStyle w:val="ListBullet"/>
        <w:spacing w:before="40" w:after="60" w:line="360" w:lineRule="exact"/>
        <w:ind w:left="576"/>
      </w:pPr>
      <w:r>
        <w:rPr>
          <w:rFonts w:ascii="Times New Roman" w:hAnsi="Times New Roman"/>
          <w:b/>
          <w:sz w:val="24"/>
        </w:rPr>
        <w:t xml:space="preserve">Sub-Question 2 (Topological Advantage): </w:t>
      </w:r>
      <w:r>
        <w:rPr>
          <w:rFonts w:ascii="Times New Roman" w:hAnsi="Times New Roman"/>
          <w:sz w:val="24"/>
        </w:rPr>
        <w:t xml:space="preserve">Does the incorporation of directed topological graph edges representing tidal and sedimental hydrodynamic flow </w:t>
      </w:r>
      <w:r w:rsidR="00134727">
        <w:rPr>
          <w:rFonts w:ascii="Times New Roman" w:hAnsi="Times New Roman"/>
          <w:sz w:val="24"/>
        </w:rPr>
        <w:t>allow</w:t>
      </w:r>
      <w:r>
        <w:rPr>
          <w:rFonts w:ascii="Times New Roman" w:hAnsi="Times New Roman"/>
          <w:sz w:val="24"/>
        </w:rPr>
        <w:t xml:space="preserve"> the model to isolate allochthonous carbon flux and outperform traditional grid-based CNNs or non-relational time-series models?</w:t>
      </w:r>
    </w:p>
    <w:p w14:paraId="32829E7D" w14:textId="7A2514A7" w:rsidR="00D42293" w:rsidRDefault="00000000">
      <w:pPr>
        <w:pStyle w:val="ListBullet"/>
        <w:spacing w:before="40" w:after="60" w:line="360" w:lineRule="exact"/>
        <w:ind w:left="576"/>
      </w:pPr>
      <w:r>
        <w:rPr>
          <w:rFonts w:ascii="Times New Roman" w:hAnsi="Times New Roman"/>
          <w:b/>
          <w:sz w:val="24"/>
        </w:rPr>
        <w:lastRenderedPageBreak/>
        <w:t xml:space="preserve">Sub-Question 3 (Audit Explainability): </w:t>
      </w:r>
      <w:r w:rsidR="00134727" w:rsidRPr="00134727">
        <w:rPr>
          <w:rFonts w:ascii="Times New Roman" w:hAnsi="Times New Roman"/>
          <w:sz w:val="24"/>
        </w:rPr>
        <w:t>How effectively can a coupled SHAP and LLM-orchestrated Explainable AI framework satisfy the auditors' rigorous requirements of Verra VM0033 without requiring destructive laboratory isotopic analysis?</w:t>
      </w:r>
    </w:p>
    <w:p w14:paraId="5806F40E" w14:textId="0168FE64" w:rsidR="00D42293" w:rsidRDefault="00000000">
      <w:pPr>
        <w:spacing w:after="120" w:line="360" w:lineRule="exact"/>
        <w:jc w:val="both"/>
      </w:pPr>
      <w:r>
        <w:rPr>
          <w:rFonts w:ascii="Times New Roman" w:hAnsi="Times New Roman"/>
          <w:b/>
          <w:sz w:val="24"/>
        </w:rPr>
        <w:t xml:space="preserve">Primary Hypothesis (H1): </w:t>
      </w:r>
      <w:r w:rsidR="00134727" w:rsidRPr="00134727">
        <w:rPr>
          <w:rFonts w:ascii="Times New Roman" w:hAnsi="Times New Roman"/>
          <w:sz w:val="24"/>
        </w:rPr>
        <w:t>The ST-GNN architecture will achieve a statistically significant improvement in forecasting accuracy (Root Mean Squared Error &lt; 0.10 tCO2e/ha and Nash-Sutcliffe Efficiency &gt; 0.85) over ablation baselines (Random Forest, LSTM, and Vanilla GCN) on a temporally held-out test partition</w:t>
      </w:r>
      <w:r>
        <w:rPr>
          <w:rFonts w:ascii="Times New Roman" w:hAnsi="Times New Roman"/>
          <w:sz w:val="24"/>
        </w:rPr>
        <w:t>.</w:t>
      </w:r>
    </w:p>
    <w:p w14:paraId="1DCDA457" w14:textId="77777777" w:rsidR="00D42293" w:rsidRDefault="00000000">
      <w:pPr>
        <w:keepNext/>
        <w:spacing w:before="280" w:after="120"/>
      </w:pPr>
      <w:r>
        <w:rPr>
          <w:rFonts w:ascii="Times New Roman" w:hAnsi="Times New Roman"/>
          <w:b/>
          <w:color w:val="005078"/>
          <w:sz w:val="26"/>
        </w:rPr>
        <w:t>1.5 Significance of the Research: From Idea to Global Product</w:t>
      </w:r>
    </w:p>
    <w:p w14:paraId="5AF9B558" w14:textId="5B8EEE59" w:rsidR="0057345E" w:rsidRDefault="0057345E">
      <w:pPr>
        <w:spacing w:after="120" w:line="360" w:lineRule="exact"/>
        <w:jc w:val="both"/>
        <w:rPr>
          <w:rFonts w:ascii="Times New Roman" w:hAnsi="Times New Roman"/>
          <w:sz w:val="24"/>
        </w:rPr>
      </w:pPr>
      <w:r w:rsidRPr="0057345E">
        <w:rPr>
          <w:rFonts w:ascii="Times New Roman" w:hAnsi="Times New Roman"/>
          <w:sz w:val="24"/>
        </w:rPr>
        <w:t xml:space="preserve">The </w:t>
      </w:r>
      <w:r>
        <w:rPr>
          <w:rFonts w:ascii="Times New Roman" w:hAnsi="Times New Roman"/>
          <w:sz w:val="24"/>
        </w:rPr>
        <w:t>significance</w:t>
      </w:r>
      <w:r w:rsidRPr="0057345E">
        <w:rPr>
          <w:rFonts w:ascii="Times New Roman" w:hAnsi="Times New Roman"/>
          <w:sz w:val="24"/>
        </w:rPr>
        <w:t xml:space="preserve"> of this dissertation is multi-layered. It is important from academic, economic, and environmental perspectives. To give context to the initial formulation of this idea, it was not conceived as an abstract mathematical exercise but rather as a mission to create a bridge between the world of data science and the reality of carbon diplomacy at the global level. I think it is important to understand what drives MCIP; to put it briefly, it Save</w:t>
      </w:r>
      <w:r>
        <w:rPr>
          <w:rFonts w:ascii="Times New Roman" w:hAnsi="Times New Roman"/>
          <w:sz w:val="24"/>
        </w:rPr>
        <w:t xml:space="preserve">s </w:t>
      </w:r>
      <w:r w:rsidRPr="0057345E">
        <w:rPr>
          <w:rFonts w:ascii="Times New Roman" w:hAnsi="Times New Roman"/>
          <w:sz w:val="24"/>
        </w:rPr>
        <w:t>Money, Make Money, Save Environment, and Make Environment.</w:t>
      </w:r>
    </w:p>
    <w:p w14:paraId="5BBC1062" w14:textId="60A2C4FE" w:rsidR="00D42293" w:rsidRDefault="00000000">
      <w:pPr>
        <w:pStyle w:val="ListBullet"/>
        <w:spacing w:before="40" w:after="60" w:line="360" w:lineRule="exact"/>
        <w:ind w:left="576"/>
      </w:pPr>
      <w:r>
        <w:rPr>
          <w:rFonts w:ascii="Times New Roman" w:hAnsi="Times New Roman"/>
          <w:b/>
          <w:sz w:val="24"/>
        </w:rPr>
        <w:t xml:space="preserve">1. Save Money (Radical Cost Democratisation): </w:t>
      </w:r>
      <w:r w:rsidR="00E97CDA" w:rsidRPr="00E97CDA">
        <w:rPr>
          <w:rFonts w:ascii="Times New Roman" w:hAnsi="Times New Roman"/>
          <w:sz w:val="24"/>
        </w:rPr>
        <w:t>At the heart of it all is the desire to democratize the price of MRV audits. Compared to traditional manual field verification rounds, the automated constant satellite auditing of MCIP can reduce costs by up to 70%. This makes the carbon market entry affordable for developing island states and coastal countries.</w:t>
      </w:r>
    </w:p>
    <w:p w14:paraId="58CD6A86" w14:textId="0EB641A6" w:rsidR="00D42293" w:rsidRPr="00E97CDA" w:rsidRDefault="00000000" w:rsidP="00E97CDA">
      <w:pPr>
        <w:pStyle w:val="ListBullet"/>
        <w:spacing w:before="40" w:after="60" w:line="360" w:lineRule="exact"/>
        <w:ind w:left="576"/>
        <w:rPr>
          <w:lang w:val="en-IN"/>
        </w:rPr>
      </w:pPr>
      <w:r>
        <w:rPr>
          <w:rFonts w:ascii="Times New Roman" w:hAnsi="Times New Roman"/>
          <w:b/>
          <w:sz w:val="24"/>
        </w:rPr>
        <w:t xml:space="preserve">2. Make Money (Sovereign Carbon Monetisation): </w:t>
      </w:r>
      <w:r w:rsidR="00E97CDA" w:rsidRPr="00E97CDA">
        <w:rPr>
          <w:rFonts w:ascii="Times New Roman" w:hAnsi="Times New Roman"/>
          <w:sz w:val="24"/>
        </w:rPr>
        <w:t>The primary value proposition of MCIP is the ability to tokenize sovereign carbon assets with enhanced credibility and continuous verification that meets the requirements of Verra VM0033 standard and Paris Agreement Article 6. In other words, governments, sovereign wealth funds, and conservation project developers can begin selling premium carbon credits at the rate of $30 to $50+ per ton of CO2 equivalent.</w:t>
      </w:r>
    </w:p>
    <w:p w14:paraId="5B7C783C" w14:textId="3CFF7A38" w:rsidR="00D42293" w:rsidRDefault="00000000">
      <w:pPr>
        <w:pStyle w:val="ListBullet"/>
        <w:spacing w:before="40" w:after="60" w:line="360" w:lineRule="exact"/>
        <w:ind w:left="576"/>
      </w:pPr>
      <w:r>
        <w:rPr>
          <w:rFonts w:ascii="Times New Roman" w:hAnsi="Times New Roman"/>
          <w:b/>
          <w:sz w:val="24"/>
        </w:rPr>
        <w:t xml:space="preserve">3. Save the Environment (Autonomous Threat Mitigation): </w:t>
      </w:r>
      <w:r w:rsidR="00E97CDA" w:rsidRPr="00E97CDA">
        <w:rPr>
          <w:rFonts w:ascii="Times New Roman" w:hAnsi="Times New Roman"/>
          <w:sz w:val="24"/>
        </w:rPr>
        <w:t>I believe that environmental protection is a key pillar of any functioning society, and MCIP’s contribution is to make it autonomous. While the current MRV protocols only allow for estimating carbon losses at the time of verification rounds, the Dual Alert Engine within MCIP will enable constant environmental auditing with 7-day predictive horizon. That means that environmental regulators will receive automated alerts with precise location data of imminent threats to mangrove forests, enabling field interventions before any irreversible damage is done.</w:t>
      </w:r>
    </w:p>
    <w:p w14:paraId="511D82AB" w14:textId="06B6FCE4" w:rsidR="00D42293" w:rsidRDefault="00000000">
      <w:pPr>
        <w:pStyle w:val="ListBullet"/>
        <w:spacing w:before="40" w:after="60" w:line="360" w:lineRule="exact"/>
        <w:ind w:left="576"/>
      </w:pPr>
      <w:r>
        <w:rPr>
          <w:rFonts w:ascii="Times New Roman" w:hAnsi="Times New Roman"/>
          <w:b/>
          <w:sz w:val="24"/>
        </w:rPr>
        <w:lastRenderedPageBreak/>
        <w:t xml:space="preserve">4. Make the Environment (Accelerating Restoration): </w:t>
      </w:r>
      <w:r w:rsidR="00E97CDA" w:rsidRPr="00E97CDA">
        <w:rPr>
          <w:rFonts w:ascii="Times New Roman" w:hAnsi="Times New Roman"/>
          <w:sz w:val="24"/>
        </w:rPr>
        <w:t>Finally, I think it is critical to operate within the constraints of carbon budget, and the contribution of MCIP is to accelerate carbon sequestration. By giving local authorities and conservation workers accurate data on the condition, structure, and tidal capacity of mangrove patches, it becomes possible to prioritize sites for afforestation and mangrove regeneration activities (e.g., the UAE’s 100 million mangrove initiative).</w:t>
      </w:r>
    </w:p>
    <w:p w14:paraId="742AB109" w14:textId="77777777" w:rsidR="00D42293" w:rsidRDefault="00000000">
      <w:pPr>
        <w:keepNext/>
        <w:spacing w:before="280" w:after="120"/>
      </w:pPr>
      <w:r>
        <w:rPr>
          <w:rFonts w:ascii="Times New Roman" w:hAnsi="Times New Roman"/>
          <w:b/>
          <w:color w:val="005078"/>
          <w:sz w:val="26"/>
        </w:rPr>
        <w:t>1.6 Dissertation Structure and Work Packages</w:t>
      </w:r>
    </w:p>
    <w:p w14:paraId="5808555C" w14:textId="4F7F9C87" w:rsidR="00D42293" w:rsidRDefault="00E97CDA" w:rsidP="00E97CDA">
      <w:pPr>
        <w:spacing w:after="120" w:line="360" w:lineRule="exact"/>
        <w:jc w:val="both"/>
        <w:rPr>
          <w:lang w:val="en-IN"/>
        </w:rPr>
      </w:pPr>
      <w:r w:rsidRPr="00E97CDA">
        <w:rPr>
          <w:lang w:val="en-IN"/>
        </w:rPr>
        <w:t>The technical development and scientific reporting of this research are compartmentalised into eight discrete Work Packages (WPs) that are mapped to the objectives as described in Table 1.1 below:</w:t>
      </w:r>
    </w:p>
    <w:p w14:paraId="64B66DB4" w14:textId="6B15EA07" w:rsidR="00E97CDA" w:rsidRPr="00A90D3E" w:rsidRDefault="00A90D3E" w:rsidP="00A90D3E">
      <w:pPr>
        <w:spacing w:before="40" w:after="120"/>
      </w:pPr>
      <w:r>
        <w:rPr>
          <w:rFonts w:ascii="Times New Roman" w:hAnsi="Times New Roman"/>
          <w:b/>
          <w:color w:val="1E1E1E"/>
        </w:rPr>
        <w:t>Table 1.1: Alignment of Research Work Packages with Project Objectives and Deliverables.</w:t>
      </w:r>
    </w:p>
    <w:tbl>
      <w:tblPr>
        <w:tblStyle w:val="TableGrid"/>
        <w:tblW w:w="0" w:type="auto"/>
        <w:jc w:val="center"/>
        <w:tblLook w:val="04A0" w:firstRow="1" w:lastRow="0" w:firstColumn="1" w:lastColumn="0" w:noHBand="0" w:noVBand="1"/>
      </w:tblPr>
      <w:tblGrid>
        <w:gridCol w:w="1849"/>
        <w:gridCol w:w="3264"/>
        <w:gridCol w:w="1561"/>
        <w:gridCol w:w="2542"/>
      </w:tblGrid>
      <w:tr w:rsidR="00D42293" w14:paraId="48FCC57E" w14:textId="77777777" w:rsidTr="00E97CDA">
        <w:trPr>
          <w:jc w:val="center"/>
        </w:trPr>
        <w:tc>
          <w:tcPr>
            <w:tcW w:w="1849" w:type="dxa"/>
            <w:shd w:val="clear" w:color="auto" w:fill="E6ECF2"/>
          </w:tcPr>
          <w:p w14:paraId="52BF975E" w14:textId="77777777" w:rsidR="00D42293" w:rsidRDefault="00000000">
            <w:pPr>
              <w:jc w:val="center"/>
            </w:pPr>
            <w:r>
              <w:rPr>
                <w:rFonts w:ascii="Times New Roman" w:hAnsi="Times New Roman"/>
                <w:b/>
                <w:color w:val="003366"/>
                <w:sz w:val="20"/>
              </w:rPr>
              <w:t>Work Package</w:t>
            </w:r>
          </w:p>
        </w:tc>
        <w:tc>
          <w:tcPr>
            <w:tcW w:w="3264" w:type="dxa"/>
            <w:shd w:val="clear" w:color="auto" w:fill="E6ECF2"/>
          </w:tcPr>
          <w:p w14:paraId="1B1ECF09" w14:textId="77777777" w:rsidR="00D42293" w:rsidRDefault="00000000">
            <w:pPr>
              <w:jc w:val="center"/>
            </w:pPr>
            <w:r>
              <w:rPr>
                <w:rFonts w:ascii="Times New Roman" w:hAnsi="Times New Roman"/>
                <w:b/>
                <w:color w:val="003366"/>
                <w:sz w:val="20"/>
              </w:rPr>
              <w:t>Description</w:t>
            </w:r>
          </w:p>
        </w:tc>
        <w:tc>
          <w:tcPr>
            <w:tcW w:w="1561" w:type="dxa"/>
            <w:shd w:val="clear" w:color="auto" w:fill="E6ECF2"/>
          </w:tcPr>
          <w:p w14:paraId="07F9569A" w14:textId="77777777" w:rsidR="00D42293" w:rsidRDefault="00000000">
            <w:pPr>
              <w:jc w:val="center"/>
            </w:pPr>
            <w:r>
              <w:rPr>
                <w:rFonts w:ascii="Times New Roman" w:hAnsi="Times New Roman"/>
                <w:b/>
                <w:color w:val="003366"/>
                <w:sz w:val="20"/>
              </w:rPr>
              <w:t>Mapped Objective</w:t>
            </w:r>
          </w:p>
        </w:tc>
        <w:tc>
          <w:tcPr>
            <w:tcW w:w="2542" w:type="dxa"/>
            <w:shd w:val="clear" w:color="auto" w:fill="E6ECF2"/>
          </w:tcPr>
          <w:p w14:paraId="037C0C9E" w14:textId="77777777" w:rsidR="00D42293" w:rsidRDefault="00000000">
            <w:pPr>
              <w:jc w:val="center"/>
            </w:pPr>
            <w:r>
              <w:rPr>
                <w:rFonts w:ascii="Times New Roman" w:hAnsi="Times New Roman"/>
                <w:b/>
                <w:color w:val="003366"/>
                <w:sz w:val="20"/>
              </w:rPr>
              <w:t>Primary Deliverables</w:t>
            </w:r>
          </w:p>
        </w:tc>
      </w:tr>
      <w:tr w:rsidR="00D42293" w14:paraId="503B5E9F" w14:textId="77777777" w:rsidTr="00E97CDA">
        <w:trPr>
          <w:jc w:val="center"/>
        </w:trPr>
        <w:tc>
          <w:tcPr>
            <w:tcW w:w="1849" w:type="dxa"/>
          </w:tcPr>
          <w:p w14:paraId="2431402D" w14:textId="77777777" w:rsidR="00D42293" w:rsidRDefault="00000000">
            <w:r>
              <w:rPr>
                <w:rFonts w:ascii="Times New Roman" w:hAnsi="Times New Roman"/>
                <w:sz w:val="20"/>
              </w:rPr>
              <w:t>WP1: Data Ingestion</w:t>
            </w:r>
          </w:p>
        </w:tc>
        <w:tc>
          <w:tcPr>
            <w:tcW w:w="3264" w:type="dxa"/>
          </w:tcPr>
          <w:p w14:paraId="1077CA2E" w14:textId="77777777" w:rsidR="00D42293" w:rsidRDefault="00000000">
            <w:r>
              <w:rPr>
                <w:rFonts w:ascii="Times New Roman" w:hAnsi="Times New Roman"/>
                <w:sz w:val="20"/>
              </w:rPr>
              <w:t>Copernicus API integration, Synchronicity Gate, rate-limit mitigation</w:t>
            </w:r>
          </w:p>
        </w:tc>
        <w:tc>
          <w:tcPr>
            <w:tcW w:w="1561" w:type="dxa"/>
          </w:tcPr>
          <w:p w14:paraId="5E93F34B" w14:textId="77777777" w:rsidR="00D42293" w:rsidRDefault="00000000">
            <w:pPr>
              <w:jc w:val="center"/>
            </w:pPr>
            <w:r>
              <w:rPr>
                <w:rFonts w:ascii="Times New Roman" w:hAnsi="Times New Roman"/>
                <w:sz w:val="20"/>
              </w:rPr>
              <w:t>O1</w:t>
            </w:r>
          </w:p>
        </w:tc>
        <w:tc>
          <w:tcPr>
            <w:tcW w:w="2542" w:type="dxa"/>
          </w:tcPr>
          <w:p w14:paraId="6CE96101" w14:textId="5FFD92DC" w:rsidR="00D42293" w:rsidRDefault="00000000">
            <w:r>
              <w:rPr>
                <w:rFonts w:ascii="Times New Roman" w:hAnsi="Times New Roman"/>
                <w:sz w:val="20"/>
              </w:rPr>
              <w:t>6</w:t>
            </w:r>
            <w:r w:rsidR="006F401F">
              <w:rPr>
                <w:rFonts w:ascii="Times New Roman" w:hAnsi="Times New Roman"/>
                <w:sz w:val="20"/>
              </w:rPr>
              <w:t>8</w:t>
            </w:r>
            <w:r>
              <w:rPr>
                <w:rFonts w:ascii="Times New Roman" w:hAnsi="Times New Roman"/>
                <w:sz w:val="20"/>
              </w:rPr>
              <w:t>-month multi-sensor satellite corpus</w:t>
            </w:r>
          </w:p>
        </w:tc>
      </w:tr>
      <w:tr w:rsidR="00D42293" w14:paraId="1B4735CA" w14:textId="77777777" w:rsidTr="00E97CDA">
        <w:trPr>
          <w:jc w:val="center"/>
        </w:trPr>
        <w:tc>
          <w:tcPr>
            <w:tcW w:w="1849" w:type="dxa"/>
          </w:tcPr>
          <w:p w14:paraId="10A9CBF6" w14:textId="77777777" w:rsidR="00D42293" w:rsidRDefault="00000000">
            <w:r>
              <w:rPr>
                <w:rFonts w:ascii="Times New Roman" w:hAnsi="Times New Roman"/>
                <w:sz w:val="20"/>
              </w:rPr>
              <w:t>WP2: Pixel Classification</w:t>
            </w:r>
          </w:p>
        </w:tc>
        <w:tc>
          <w:tcPr>
            <w:tcW w:w="3264" w:type="dxa"/>
          </w:tcPr>
          <w:p w14:paraId="5D0259CF" w14:textId="77777777" w:rsidR="00D42293" w:rsidRDefault="00000000">
            <w:r>
              <w:rPr>
                <w:rFonts w:ascii="Times New Roman" w:hAnsi="Times New Roman"/>
                <w:sz w:val="20"/>
              </w:rPr>
              <w:t>Class balancing (RandomUnderSampler) and Deep ANN classifier</w:t>
            </w:r>
          </w:p>
        </w:tc>
        <w:tc>
          <w:tcPr>
            <w:tcW w:w="1561" w:type="dxa"/>
          </w:tcPr>
          <w:p w14:paraId="3E3C31F1" w14:textId="77777777" w:rsidR="00D42293" w:rsidRDefault="00000000">
            <w:pPr>
              <w:jc w:val="center"/>
            </w:pPr>
            <w:r>
              <w:rPr>
                <w:rFonts w:ascii="Times New Roman" w:hAnsi="Times New Roman"/>
                <w:sz w:val="20"/>
              </w:rPr>
              <w:t>O1</w:t>
            </w:r>
          </w:p>
        </w:tc>
        <w:tc>
          <w:tcPr>
            <w:tcW w:w="2542" w:type="dxa"/>
          </w:tcPr>
          <w:p w14:paraId="2654B8ED" w14:textId="77777777" w:rsidR="00D42293" w:rsidRDefault="00000000">
            <w:r>
              <w:rPr>
                <w:rFonts w:ascii="Times New Roman" w:hAnsi="Times New Roman"/>
                <w:sz w:val="20"/>
              </w:rPr>
              <w:t>Verified coastal mangrove pixel mask (3,230 pts)</w:t>
            </w:r>
          </w:p>
        </w:tc>
      </w:tr>
      <w:tr w:rsidR="00D42293" w14:paraId="72389E60" w14:textId="77777777" w:rsidTr="00E97CDA">
        <w:trPr>
          <w:jc w:val="center"/>
        </w:trPr>
        <w:tc>
          <w:tcPr>
            <w:tcW w:w="1849" w:type="dxa"/>
          </w:tcPr>
          <w:p w14:paraId="15E74A1F" w14:textId="77777777" w:rsidR="00D42293" w:rsidRDefault="00000000">
            <w:r>
              <w:rPr>
                <w:rFonts w:ascii="Times New Roman" w:hAnsi="Times New Roman"/>
                <w:sz w:val="20"/>
              </w:rPr>
              <w:t>WP3: Neural Imputation</w:t>
            </w:r>
          </w:p>
        </w:tc>
        <w:tc>
          <w:tcPr>
            <w:tcW w:w="3264" w:type="dxa"/>
          </w:tcPr>
          <w:p w14:paraId="65134287" w14:textId="77777777" w:rsidR="00D42293" w:rsidRDefault="00000000">
            <w:r>
              <w:rPr>
                <w:rFonts w:ascii="Times New Roman" w:hAnsi="Times New Roman"/>
                <w:sz w:val="20"/>
              </w:rPr>
              <w:t>Transfer learning from Sundarbans to UAE for 8 GEDI variables</w:t>
            </w:r>
          </w:p>
        </w:tc>
        <w:tc>
          <w:tcPr>
            <w:tcW w:w="1561" w:type="dxa"/>
          </w:tcPr>
          <w:p w14:paraId="2EEC28E2" w14:textId="77777777" w:rsidR="00D42293" w:rsidRDefault="00000000">
            <w:pPr>
              <w:jc w:val="center"/>
            </w:pPr>
            <w:r>
              <w:rPr>
                <w:rFonts w:ascii="Times New Roman" w:hAnsi="Times New Roman"/>
                <w:sz w:val="20"/>
              </w:rPr>
              <w:t>O2</w:t>
            </w:r>
          </w:p>
        </w:tc>
        <w:tc>
          <w:tcPr>
            <w:tcW w:w="2542" w:type="dxa"/>
          </w:tcPr>
          <w:p w14:paraId="34E938E6" w14:textId="77777777" w:rsidR="00D42293" w:rsidRDefault="00000000">
            <w:r>
              <w:rPr>
                <w:rFonts w:ascii="Times New Roman" w:hAnsi="Times New Roman"/>
                <w:sz w:val="20"/>
              </w:rPr>
              <w:t>Imputed 35-feature spatial data cube</w:t>
            </w:r>
          </w:p>
        </w:tc>
      </w:tr>
      <w:tr w:rsidR="00D42293" w14:paraId="7228A4AD" w14:textId="77777777" w:rsidTr="00E97CDA">
        <w:trPr>
          <w:jc w:val="center"/>
        </w:trPr>
        <w:tc>
          <w:tcPr>
            <w:tcW w:w="1849" w:type="dxa"/>
          </w:tcPr>
          <w:p w14:paraId="0120CC61" w14:textId="77777777" w:rsidR="00D42293" w:rsidRDefault="00000000">
            <w:r>
              <w:rPr>
                <w:rFonts w:ascii="Times New Roman" w:hAnsi="Times New Roman"/>
                <w:sz w:val="20"/>
              </w:rPr>
              <w:t>WP4: Graph Topology</w:t>
            </w:r>
          </w:p>
        </w:tc>
        <w:tc>
          <w:tcPr>
            <w:tcW w:w="3264" w:type="dxa"/>
          </w:tcPr>
          <w:p w14:paraId="624D5052" w14:textId="77777777" w:rsidR="00D42293" w:rsidRDefault="00000000">
            <w:r>
              <w:rPr>
                <w:rFonts w:ascii="Times New Roman" w:hAnsi="Times New Roman"/>
                <w:sz w:val="20"/>
              </w:rPr>
              <w:t>DBSCAN spatial clustering and directed tidal/sediment edge modeling</w:t>
            </w:r>
          </w:p>
        </w:tc>
        <w:tc>
          <w:tcPr>
            <w:tcW w:w="1561" w:type="dxa"/>
          </w:tcPr>
          <w:p w14:paraId="4B0F44A3" w14:textId="77777777" w:rsidR="00D42293" w:rsidRDefault="00000000">
            <w:pPr>
              <w:jc w:val="center"/>
            </w:pPr>
            <w:r>
              <w:rPr>
                <w:rFonts w:ascii="Times New Roman" w:hAnsi="Times New Roman"/>
                <w:sz w:val="20"/>
              </w:rPr>
              <w:t>O3</w:t>
            </w:r>
          </w:p>
        </w:tc>
        <w:tc>
          <w:tcPr>
            <w:tcW w:w="2542" w:type="dxa"/>
          </w:tcPr>
          <w:p w14:paraId="23C90745" w14:textId="77777777" w:rsidR="00D42293" w:rsidRDefault="00000000">
            <w:r>
              <w:rPr>
                <w:rFonts w:ascii="Times New Roman" w:hAnsi="Times New Roman"/>
                <w:sz w:val="20"/>
              </w:rPr>
              <w:t>53-node, 86-edge directed coastal graph</w:t>
            </w:r>
          </w:p>
        </w:tc>
      </w:tr>
      <w:tr w:rsidR="00D42293" w14:paraId="6AEB45C9" w14:textId="77777777" w:rsidTr="00E97CDA">
        <w:trPr>
          <w:jc w:val="center"/>
        </w:trPr>
        <w:tc>
          <w:tcPr>
            <w:tcW w:w="1849" w:type="dxa"/>
          </w:tcPr>
          <w:p w14:paraId="1C426D0C" w14:textId="77777777" w:rsidR="00D42293" w:rsidRDefault="00000000">
            <w:r>
              <w:rPr>
                <w:rFonts w:ascii="Times New Roman" w:hAnsi="Times New Roman"/>
                <w:sz w:val="20"/>
              </w:rPr>
              <w:t>WP5: ST-GNN Forecasting</w:t>
            </w:r>
          </w:p>
        </w:tc>
        <w:tc>
          <w:tcPr>
            <w:tcW w:w="3264" w:type="dxa"/>
          </w:tcPr>
          <w:p w14:paraId="3B5E23ED" w14:textId="77777777" w:rsidR="00D42293" w:rsidRDefault="00000000">
            <w:r>
              <w:rPr>
                <w:rFonts w:ascii="Times New Roman" w:hAnsi="Times New Roman"/>
                <w:sz w:val="20"/>
              </w:rPr>
              <w:t>Autoregressive spatio-temporal model training and ablation benchmarking</w:t>
            </w:r>
          </w:p>
        </w:tc>
        <w:tc>
          <w:tcPr>
            <w:tcW w:w="1561" w:type="dxa"/>
          </w:tcPr>
          <w:p w14:paraId="25950847" w14:textId="77777777" w:rsidR="00D42293" w:rsidRDefault="00000000">
            <w:pPr>
              <w:jc w:val="center"/>
            </w:pPr>
            <w:r>
              <w:rPr>
                <w:rFonts w:ascii="Times New Roman" w:hAnsi="Times New Roman"/>
                <w:sz w:val="20"/>
              </w:rPr>
              <w:t>O4</w:t>
            </w:r>
          </w:p>
        </w:tc>
        <w:tc>
          <w:tcPr>
            <w:tcW w:w="2542" w:type="dxa"/>
          </w:tcPr>
          <w:p w14:paraId="616B42B7" w14:textId="77777777" w:rsidR="00D42293" w:rsidRDefault="00000000">
            <w:r>
              <w:rPr>
                <w:rFonts w:ascii="Times New Roman" w:hAnsi="Times New Roman"/>
                <w:sz w:val="20"/>
              </w:rPr>
              <w:t>Forecasting engine with 12-month projections</w:t>
            </w:r>
          </w:p>
        </w:tc>
      </w:tr>
      <w:tr w:rsidR="00D42293" w14:paraId="4E942BAA" w14:textId="77777777" w:rsidTr="00E97CDA">
        <w:trPr>
          <w:jc w:val="center"/>
        </w:trPr>
        <w:tc>
          <w:tcPr>
            <w:tcW w:w="1849" w:type="dxa"/>
          </w:tcPr>
          <w:p w14:paraId="5EE13205" w14:textId="77777777" w:rsidR="00D42293" w:rsidRDefault="00000000">
            <w:r>
              <w:rPr>
                <w:rFonts w:ascii="Times New Roman" w:hAnsi="Times New Roman"/>
                <w:sz w:val="20"/>
              </w:rPr>
              <w:t>WP6: XAI &amp; Compliance</w:t>
            </w:r>
          </w:p>
        </w:tc>
        <w:tc>
          <w:tcPr>
            <w:tcW w:w="3264" w:type="dxa"/>
          </w:tcPr>
          <w:p w14:paraId="0048C95B" w14:textId="77777777" w:rsidR="00D42293" w:rsidRDefault="00000000">
            <w:r>
              <w:rPr>
                <w:rFonts w:ascii="Times New Roman" w:hAnsi="Times New Roman"/>
                <w:sz w:val="20"/>
              </w:rPr>
              <w:t>SHAP feature attribution and Gemini 2.5 Flash auditing assistant</w:t>
            </w:r>
          </w:p>
        </w:tc>
        <w:tc>
          <w:tcPr>
            <w:tcW w:w="1561" w:type="dxa"/>
          </w:tcPr>
          <w:p w14:paraId="03614BE1" w14:textId="77777777" w:rsidR="00D42293" w:rsidRDefault="00000000">
            <w:pPr>
              <w:jc w:val="center"/>
            </w:pPr>
            <w:r>
              <w:rPr>
                <w:rFonts w:ascii="Times New Roman" w:hAnsi="Times New Roman"/>
                <w:sz w:val="20"/>
              </w:rPr>
              <w:t>O5</w:t>
            </w:r>
          </w:p>
        </w:tc>
        <w:tc>
          <w:tcPr>
            <w:tcW w:w="2542" w:type="dxa"/>
          </w:tcPr>
          <w:p w14:paraId="46A8A379" w14:textId="77777777" w:rsidR="00D42293" w:rsidRDefault="00000000">
            <w:r>
              <w:rPr>
                <w:rFonts w:ascii="Times New Roman" w:hAnsi="Times New Roman"/>
                <w:sz w:val="20"/>
              </w:rPr>
              <w:t>Conversational regulatory audit drawer</w:t>
            </w:r>
          </w:p>
        </w:tc>
      </w:tr>
      <w:tr w:rsidR="00D42293" w14:paraId="3BE5296F" w14:textId="77777777" w:rsidTr="00E97CDA">
        <w:trPr>
          <w:jc w:val="center"/>
        </w:trPr>
        <w:tc>
          <w:tcPr>
            <w:tcW w:w="1849" w:type="dxa"/>
          </w:tcPr>
          <w:p w14:paraId="255BF020" w14:textId="77777777" w:rsidR="00D42293" w:rsidRDefault="00000000">
            <w:r>
              <w:rPr>
                <w:rFonts w:ascii="Times New Roman" w:hAnsi="Times New Roman"/>
                <w:sz w:val="20"/>
              </w:rPr>
              <w:t>WP7: Web Application</w:t>
            </w:r>
          </w:p>
        </w:tc>
        <w:tc>
          <w:tcPr>
            <w:tcW w:w="3264" w:type="dxa"/>
          </w:tcPr>
          <w:p w14:paraId="5317CD85" w14:textId="77777777" w:rsidR="00D42293" w:rsidRDefault="00000000">
            <w:r>
              <w:rPr>
                <w:rFonts w:ascii="Times New Roman" w:hAnsi="Times New Roman"/>
                <w:sz w:val="20"/>
              </w:rPr>
              <w:t>Full-stack Next.js 15, Firestore DB, GIS map, and dual alert engine</w:t>
            </w:r>
          </w:p>
        </w:tc>
        <w:tc>
          <w:tcPr>
            <w:tcW w:w="1561" w:type="dxa"/>
          </w:tcPr>
          <w:p w14:paraId="5334559C" w14:textId="77777777" w:rsidR="00D42293" w:rsidRDefault="00000000">
            <w:pPr>
              <w:jc w:val="center"/>
            </w:pPr>
            <w:r>
              <w:rPr>
                <w:rFonts w:ascii="Times New Roman" w:hAnsi="Times New Roman"/>
                <w:sz w:val="20"/>
              </w:rPr>
              <w:t>O6</w:t>
            </w:r>
          </w:p>
        </w:tc>
        <w:tc>
          <w:tcPr>
            <w:tcW w:w="2542" w:type="dxa"/>
          </w:tcPr>
          <w:p w14:paraId="19C529E6" w14:textId="77777777" w:rsidR="00D42293" w:rsidRDefault="00000000">
            <w:r>
              <w:rPr>
                <w:rFonts w:ascii="Times New Roman" w:hAnsi="Times New Roman"/>
                <w:sz w:val="20"/>
              </w:rPr>
              <w:t>Production-ready Coastal Sentinel SaaS platform</w:t>
            </w:r>
          </w:p>
        </w:tc>
      </w:tr>
      <w:tr w:rsidR="00D42293" w14:paraId="550C45D8" w14:textId="77777777" w:rsidTr="00E97CDA">
        <w:trPr>
          <w:jc w:val="center"/>
        </w:trPr>
        <w:tc>
          <w:tcPr>
            <w:tcW w:w="1849" w:type="dxa"/>
          </w:tcPr>
          <w:p w14:paraId="617348BC" w14:textId="77777777" w:rsidR="00D42293" w:rsidRDefault="00000000">
            <w:r>
              <w:rPr>
                <w:rFonts w:ascii="Times New Roman" w:hAnsi="Times New Roman"/>
                <w:sz w:val="20"/>
              </w:rPr>
              <w:t>WP8: Synthesis &amp; Report</w:t>
            </w:r>
          </w:p>
        </w:tc>
        <w:tc>
          <w:tcPr>
            <w:tcW w:w="3264" w:type="dxa"/>
          </w:tcPr>
          <w:p w14:paraId="1EBA4418" w14:textId="77777777" w:rsidR="00D42293" w:rsidRDefault="00000000">
            <w:r>
              <w:rPr>
                <w:rFonts w:ascii="Times New Roman" w:hAnsi="Times New Roman"/>
                <w:sz w:val="20"/>
              </w:rPr>
              <w:t>Comprehensive thesis documentation, code validation, viva preparation</w:t>
            </w:r>
          </w:p>
        </w:tc>
        <w:tc>
          <w:tcPr>
            <w:tcW w:w="1561" w:type="dxa"/>
          </w:tcPr>
          <w:p w14:paraId="6AD3007E" w14:textId="77777777" w:rsidR="00D42293" w:rsidRDefault="00000000">
            <w:pPr>
              <w:jc w:val="center"/>
            </w:pPr>
            <w:r>
              <w:rPr>
                <w:rFonts w:ascii="Times New Roman" w:hAnsi="Times New Roman"/>
                <w:sz w:val="20"/>
              </w:rPr>
              <w:t>O1-O6</w:t>
            </w:r>
          </w:p>
        </w:tc>
        <w:tc>
          <w:tcPr>
            <w:tcW w:w="2542" w:type="dxa"/>
          </w:tcPr>
          <w:p w14:paraId="3BC6CF52" w14:textId="77777777" w:rsidR="00D42293" w:rsidRDefault="00000000">
            <w:r>
              <w:rPr>
                <w:rFonts w:ascii="Times New Roman" w:hAnsi="Times New Roman"/>
                <w:sz w:val="20"/>
              </w:rPr>
              <w:t>Master's Dissertation and Technical Dossier</w:t>
            </w:r>
          </w:p>
        </w:tc>
      </w:tr>
    </w:tbl>
    <w:p w14:paraId="57A22FDD" w14:textId="77777777" w:rsidR="00A90D3E" w:rsidRDefault="00A90D3E">
      <w:pPr>
        <w:spacing w:after="120" w:line="360" w:lineRule="exact"/>
        <w:jc w:val="both"/>
        <w:rPr>
          <w:rFonts w:ascii="Times New Roman" w:hAnsi="Times New Roman"/>
          <w:sz w:val="24"/>
        </w:rPr>
      </w:pPr>
    </w:p>
    <w:p w14:paraId="01FBC6C8" w14:textId="7EA9EAD0" w:rsidR="00D42293" w:rsidRDefault="00A90D3E">
      <w:pPr>
        <w:spacing w:after="120" w:line="360" w:lineRule="exact"/>
        <w:jc w:val="both"/>
      </w:pPr>
      <w:r w:rsidRPr="00A90D3E">
        <w:rPr>
          <w:rFonts w:ascii="Times New Roman" w:hAnsi="Times New Roman"/>
          <w:sz w:val="24"/>
        </w:rPr>
        <w:t xml:space="preserve">The rest of this dissertation is structured as follows: Chapter 2 performs a comprehensive literature review that articulates blue carbon's foundational theory as well as remote sensing and regulatory innovation, concluding in a gap analysis. Chapter 3 defines the research methodology, philosophy, and engineering design principles from Stage 0 to Stage 3. Chapter 4 describes the enterprise system architecture, full-stack software development, and database schema. Chapter 5 reports the results, quantitative evaluation, baseline comparisons, and critical human discussion. Chapter 6 defines the product market strategy, economic </w:t>
      </w:r>
      <w:r w:rsidRPr="00A90D3E">
        <w:rPr>
          <w:rFonts w:ascii="Times New Roman" w:hAnsi="Times New Roman"/>
          <w:sz w:val="24"/>
        </w:rPr>
        <w:lastRenderedPageBreak/>
        <w:t>valuation, and commercial SaaS roadmap. Finally, Chapter 7 synthesises the conclusions across managerial, theoretical, and future scaling perspectives</w:t>
      </w:r>
    </w:p>
    <w:p w14:paraId="33058753" w14:textId="77777777" w:rsidR="00D42293" w:rsidRDefault="00000000">
      <w:r>
        <w:br w:type="page"/>
      </w:r>
    </w:p>
    <w:p w14:paraId="76255C7C" w14:textId="77777777" w:rsidR="00D42293" w:rsidRDefault="00000000">
      <w:pPr>
        <w:keepNext/>
        <w:spacing w:before="360" w:after="240"/>
      </w:pPr>
      <w:r>
        <w:rPr>
          <w:rFonts w:ascii="Times New Roman" w:hAnsi="Times New Roman"/>
          <w:b/>
          <w:color w:val="003366"/>
          <w:sz w:val="32"/>
        </w:rPr>
        <w:lastRenderedPageBreak/>
        <w:t>Chapter 2: State of the Art &amp; Literature Review</w:t>
      </w:r>
    </w:p>
    <w:p w14:paraId="1259F005" w14:textId="77777777" w:rsidR="00D42293" w:rsidRDefault="00000000">
      <w:pPr>
        <w:keepNext/>
        <w:spacing w:before="280" w:after="120"/>
      </w:pPr>
      <w:r>
        <w:rPr>
          <w:rFonts w:ascii="Times New Roman" w:hAnsi="Times New Roman"/>
          <w:b/>
          <w:color w:val="005078"/>
          <w:sz w:val="26"/>
        </w:rPr>
        <w:t>2.1 Introduction and Review Methodology</w:t>
      </w:r>
    </w:p>
    <w:p w14:paraId="6F4BC8F9" w14:textId="77777777" w:rsidR="00A90D3E" w:rsidRDefault="00A90D3E">
      <w:pPr>
        <w:spacing w:after="120" w:line="360" w:lineRule="exact"/>
        <w:jc w:val="both"/>
      </w:pPr>
      <w:r w:rsidRPr="00A90D3E">
        <w:rPr>
          <w:rFonts w:ascii="Times New Roman" w:hAnsi="Times New Roman"/>
          <w:sz w:val="24"/>
        </w:rPr>
        <w:t xml:space="preserve">This chapter sets out the academic and regulatory foundations for the Mangrove Carbon Intelligence Platform. Measuring, reporting and verifying coastal blue carbon </w:t>
      </w:r>
      <w:r>
        <w:rPr>
          <w:rFonts w:ascii="Times New Roman" w:hAnsi="Times New Roman"/>
          <w:sz w:val="24"/>
        </w:rPr>
        <w:t>needs</w:t>
      </w:r>
      <w:r w:rsidRPr="00A90D3E">
        <w:rPr>
          <w:rFonts w:ascii="Times New Roman" w:hAnsi="Times New Roman"/>
          <w:sz w:val="24"/>
        </w:rPr>
        <w:t xml:space="preserve"> an interdisciplinary convergence of marine ecology, satellite remote sensing, deep learning, spatio-temporal graph learning, explainable artificial intelligence and international carbon accounting law. The purpose of this literature review is two-fold: to set out the historical and state-of-the-art developments in each pillar of the blue carbon pipeline, and to identify the methodological gaps in the literature which this research aims to address through its architectural choices.</w:t>
      </w:r>
    </w:p>
    <w:p w14:paraId="4CEB8524" w14:textId="7CE16E27" w:rsidR="00D42293" w:rsidRDefault="00A90D3E">
      <w:pPr>
        <w:spacing w:after="120" w:line="360" w:lineRule="exact"/>
        <w:jc w:val="both"/>
      </w:pPr>
      <w:r w:rsidRPr="00A90D3E">
        <w:rPr>
          <w:rFonts w:ascii="Times New Roman" w:hAnsi="Times New Roman"/>
          <w:sz w:val="24"/>
        </w:rPr>
        <w:t>A systematic literature search was performed on four scholarly databases: IEEE Xplore, ScienceDirect (Elsevier), SpringerLink and Google Scholar. Regulatory policy frameworks were also included, notably the IPCC 2013 Wetlands Supplement, Verra VM0033 Tidal Wetland Methodology, and the UAE Ministry of Climate Change and Environment (MOCCAE) COP28 National Progress Report. Keywords were formulated using boolean logic to combine terms from multiple domains, as summarised in Table 2.1.</w:t>
      </w:r>
    </w:p>
    <w:p w14:paraId="025F9D1C" w14:textId="77777777" w:rsidR="00D42293" w:rsidRDefault="00000000">
      <w:pPr>
        <w:spacing w:before="200" w:after="80"/>
      </w:pPr>
      <w:r>
        <w:rPr>
          <w:rFonts w:ascii="Times New Roman" w:hAnsi="Times New Roman"/>
          <w:b/>
          <w:color w:val="1E1E1E"/>
        </w:rPr>
        <w:t>Table 2.1: Systematic Literature Search Keywords, Boolean Queries, and Categorical Groupings.</w:t>
      </w:r>
    </w:p>
    <w:tbl>
      <w:tblPr>
        <w:tblStyle w:val="TableGrid"/>
        <w:tblW w:w="0" w:type="auto"/>
        <w:jc w:val="center"/>
        <w:tblLook w:val="04A0" w:firstRow="1" w:lastRow="0" w:firstColumn="1" w:lastColumn="0" w:noHBand="0" w:noVBand="1"/>
      </w:tblPr>
      <w:tblGrid>
        <w:gridCol w:w="1993"/>
        <w:gridCol w:w="4521"/>
        <w:gridCol w:w="2702"/>
      </w:tblGrid>
      <w:tr w:rsidR="00D42293" w14:paraId="1026E3CC" w14:textId="77777777">
        <w:trPr>
          <w:jc w:val="center"/>
        </w:trPr>
        <w:tc>
          <w:tcPr>
            <w:tcW w:w="2016" w:type="dxa"/>
            <w:shd w:val="clear" w:color="auto" w:fill="E6ECF2"/>
          </w:tcPr>
          <w:p w14:paraId="291AE549" w14:textId="77777777" w:rsidR="00D42293" w:rsidRDefault="00000000">
            <w:pPr>
              <w:jc w:val="center"/>
            </w:pPr>
            <w:r>
              <w:rPr>
                <w:rFonts w:ascii="Times New Roman" w:hAnsi="Times New Roman"/>
                <w:b/>
                <w:color w:val="003366"/>
                <w:sz w:val="20"/>
              </w:rPr>
              <w:t>Category</w:t>
            </w:r>
          </w:p>
        </w:tc>
        <w:tc>
          <w:tcPr>
            <w:tcW w:w="4608" w:type="dxa"/>
            <w:shd w:val="clear" w:color="auto" w:fill="E6ECF2"/>
          </w:tcPr>
          <w:p w14:paraId="07DAD826" w14:textId="77777777" w:rsidR="00D42293" w:rsidRDefault="00000000">
            <w:pPr>
              <w:jc w:val="center"/>
            </w:pPr>
            <w:r>
              <w:rPr>
                <w:rFonts w:ascii="Times New Roman" w:hAnsi="Times New Roman"/>
                <w:b/>
                <w:color w:val="003366"/>
                <w:sz w:val="20"/>
              </w:rPr>
              <w:t>Primary Keywords &amp; Search Operators</w:t>
            </w:r>
          </w:p>
        </w:tc>
        <w:tc>
          <w:tcPr>
            <w:tcW w:w="2736" w:type="dxa"/>
            <w:shd w:val="clear" w:color="auto" w:fill="E6ECF2"/>
          </w:tcPr>
          <w:p w14:paraId="71A2DDE1" w14:textId="77777777" w:rsidR="00D42293" w:rsidRDefault="00000000">
            <w:pPr>
              <w:jc w:val="center"/>
            </w:pPr>
            <w:r>
              <w:rPr>
                <w:rFonts w:ascii="Times New Roman" w:hAnsi="Times New Roman"/>
                <w:b/>
                <w:color w:val="003366"/>
                <w:sz w:val="20"/>
              </w:rPr>
              <w:t>Target Methodological Domain</w:t>
            </w:r>
          </w:p>
        </w:tc>
      </w:tr>
      <w:tr w:rsidR="00D42293" w14:paraId="245E6852" w14:textId="77777777">
        <w:trPr>
          <w:jc w:val="center"/>
        </w:trPr>
        <w:tc>
          <w:tcPr>
            <w:tcW w:w="2016" w:type="dxa"/>
          </w:tcPr>
          <w:p w14:paraId="3EFDC1AE" w14:textId="77777777" w:rsidR="00D42293" w:rsidRDefault="00000000">
            <w:pPr>
              <w:jc w:val="center"/>
            </w:pPr>
            <w:r>
              <w:rPr>
                <w:rFonts w:ascii="Times New Roman" w:hAnsi="Times New Roman"/>
                <w:sz w:val="20"/>
              </w:rPr>
              <w:t>Remote Sensing</w:t>
            </w:r>
          </w:p>
        </w:tc>
        <w:tc>
          <w:tcPr>
            <w:tcW w:w="4608" w:type="dxa"/>
          </w:tcPr>
          <w:p w14:paraId="27FC0F5F" w14:textId="77777777" w:rsidR="00D42293" w:rsidRDefault="00000000">
            <w:r>
              <w:rPr>
                <w:rFonts w:ascii="Times New Roman" w:hAnsi="Times New Roman"/>
                <w:sz w:val="20"/>
              </w:rPr>
              <w:t>('mangrove' OR 'blue carbon') AND ('Sentinel-1' OR 'Sentinel-2' OR 'SAR' OR 'LiDAR' OR 'GEDI')</w:t>
            </w:r>
          </w:p>
        </w:tc>
        <w:tc>
          <w:tcPr>
            <w:tcW w:w="2736" w:type="dxa"/>
          </w:tcPr>
          <w:p w14:paraId="0BE67D37" w14:textId="77777777" w:rsidR="00D42293" w:rsidRDefault="00000000">
            <w:r>
              <w:rPr>
                <w:rFonts w:ascii="Times New Roman" w:hAnsi="Times New Roman"/>
                <w:sz w:val="20"/>
              </w:rPr>
              <w:t>Biomass and canopy height extraction</w:t>
            </w:r>
          </w:p>
        </w:tc>
      </w:tr>
      <w:tr w:rsidR="00D42293" w14:paraId="131CDE7C" w14:textId="77777777">
        <w:trPr>
          <w:jc w:val="center"/>
        </w:trPr>
        <w:tc>
          <w:tcPr>
            <w:tcW w:w="2016" w:type="dxa"/>
          </w:tcPr>
          <w:p w14:paraId="54D4D440" w14:textId="77777777" w:rsidR="00D42293" w:rsidRDefault="00000000">
            <w:r>
              <w:rPr>
                <w:rFonts w:ascii="Times New Roman" w:hAnsi="Times New Roman"/>
                <w:sz w:val="20"/>
              </w:rPr>
              <w:t>Machine Learning</w:t>
            </w:r>
          </w:p>
        </w:tc>
        <w:tc>
          <w:tcPr>
            <w:tcW w:w="4608" w:type="dxa"/>
          </w:tcPr>
          <w:p w14:paraId="03DF7984" w14:textId="77777777" w:rsidR="00D42293" w:rsidRDefault="00000000">
            <w:r>
              <w:rPr>
                <w:rFonts w:ascii="Times New Roman" w:hAnsi="Times New Roman"/>
                <w:sz w:val="20"/>
              </w:rPr>
              <w:t>('transfer learning' OR 'neural imputation' OR 'domain adaptation') AND ('satellite' OR 'sparse data')</w:t>
            </w:r>
          </w:p>
        </w:tc>
        <w:tc>
          <w:tcPr>
            <w:tcW w:w="2736" w:type="dxa"/>
          </w:tcPr>
          <w:p w14:paraId="2F455D66" w14:textId="77777777" w:rsidR="00D42293" w:rsidRDefault="00000000">
            <w:r>
              <w:rPr>
                <w:rFonts w:ascii="Times New Roman" w:hAnsi="Times New Roman"/>
                <w:sz w:val="20"/>
              </w:rPr>
              <w:t>Cross-biome structural height reconstruction</w:t>
            </w:r>
          </w:p>
        </w:tc>
      </w:tr>
      <w:tr w:rsidR="00D42293" w14:paraId="2283709B" w14:textId="77777777">
        <w:trPr>
          <w:jc w:val="center"/>
        </w:trPr>
        <w:tc>
          <w:tcPr>
            <w:tcW w:w="2016" w:type="dxa"/>
          </w:tcPr>
          <w:p w14:paraId="558FF903" w14:textId="77777777" w:rsidR="00D42293" w:rsidRDefault="00000000">
            <w:pPr>
              <w:jc w:val="center"/>
            </w:pPr>
            <w:r>
              <w:rPr>
                <w:rFonts w:ascii="Times New Roman" w:hAnsi="Times New Roman"/>
                <w:sz w:val="20"/>
              </w:rPr>
              <w:t>Graph Learning</w:t>
            </w:r>
          </w:p>
        </w:tc>
        <w:tc>
          <w:tcPr>
            <w:tcW w:w="4608" w:type="dxa"/>
          </w:tcPr>
          <w:p w14:paraId="0F50CA40" w14:textId="77777777" w:rsidR="00D42293" w:rsidRDefault="00000000">
            <w:r>
              <w:rPr>
                <w:rFonts w:ascii="Times New Roman" w:hAnsi="Times New Roman"/>
                <w:sz w:val="20"/>
              </w:rPr>
              <w:t>('Graph Neural Network' OR 'GNN' OR 'ST-GNN' OR 'spatio-temporal') AND ('ecological' OR 'flux' OR 'environmental')</w:t>
            </w:r>
          </w:p>
        </w:tc>
        <w:tc>
          <w:tcPr>
            <w:tcW w:w="2736" w:type="dxa"/>
          </w:tcPr>
          <w:p w14:paraId="296BAAC8" w14:textId="77777777" w:rsidR="00D42293" w:rsidRDefault="00000000">
            <w:r>
              <w:rPr>
                <w:rFonts w:ascii="Times New Roman" w:hAnsi="Times New Roman"/>
                <w:sz w:val="20"/>
              </w:rPr>
              <w:t>Relational hydrodynamic connectivity modeling</w:t>
            </w:r>
          </w:p>
        </w:tc>
      </w:tr>
      <w:tr w:rsidR="00D42293" w14:paraId="0EECA9A3" w14:textId="77777777">
        <w:trPr>
          <w:jc w:val="center"/>
        </w:trPr>
        <w:tc>
          <w:tcPr>
            <w:tcW w:w="2016" w:type="dxa"/>
          </w:tcPr>
          <w:p w14:paraId="2783BBC2" w14:textId="4902369E" w:rsidR="00D42293" w:rsidRDefault="00000000">
            <w:r>
              <w:rPr>
                <w:rFonts w:ascii="Times New Roman" w:hAnsi="Times New Roman"/>
                <w:sz w:val="20"/>
              </w:rPr>
              <w:t xml:space="preserve">Carbon </w:t>
            </w:r>
            <w:r w:rsidR="00A90D3E">
              <w:rPr>
                <w:rFonts w:ascii="Times New Roman" w:hAnsi="Times New Roman"/>
                <w:sz w:val="20"/>
              </w:rPr>
              <w:t>Legal philosophy</w:t>
            </w:r>
          </w:p>
        </w:tc>
        <w:tc>
          <w:tcPr>
            <w:tcW w:w="4608" w:type="dxa"/>
          </w:tcPr>
          <w:p w14:paraId="03C6C5F7" w14:textId="77777777" w:rsidR="00D42293" w:rsidRDefault="00000000">
            <w:r>
              <w:rPr>
                <w:rFonts w:ascii="Times New Roman" w:hAnsi="Times New Roman"/>
                <w:sz w:val="20"/>
              </w:rPr>
              <w:t>('blue carbon MRV' OR 'Verra VM0033' OR 'Additionality' OR 'Permanence' OR 'allochthonous')</w:t>
            </w:r>
          </w:p>
        </w:tc>
        <w:tc>
          <w:tcPr>
            <w:tcW w:w="2736" w:type="dxa"/>
          </w:tcPr>
          <w:p w14:paraId="7BA548F4" w14:textId="77777777" w:rsidR="00D42293" w:rsidRDefault="00000000">
            <w:r>
              <w:rPr>
                <w:rFonts w:ascii="Times New Roman" w:hAnsi="Times New Roman"/>
                <w:sz w:val="20"/>
              </w:rPr>
              <w:t>Regulatory audit compliance and carbon standards</w:t>
            </w:r>
          </w:p>
        </w:tc>
      </w:tr>
      <w:tr w:rsidR="00D42293" w14:paraId="136B5724" w14:textId="77777777">
        <w:trPr>
          <w:jc w:val="center"/>
        </w:trPr>
        <w:tc>
          <w:tcPr>
            <w:tcW w:w="2016" w:type="dxa"/>
          </w:tcPr>
          <w:p w14:paraId="28348265" w14:textId="77777777" w:rsidR="00D42293" w:rsidRDefault="00000000">
            <w:pPr>
              <w:jc w:val="center"/>
            </w:pPr>
            <w:r>
              <w:rPr>
                <w:rFonts w:ascii="Times New Roman" w:hAnsi="Times New Roman"/>
                <w:sz w:val="20"/>
              </w:rPr>
              <w:t>Explainable AI</w:t>
            </w:r>
          </w:p>
        </w:tc>
        <w:tc>
          <w:tcPr>
            <w:tcW w:w="4608" w:type="dxa"/>
          </w:tcPr>
          <w:p w14:paraId="017B2EAB" w14:textId="77777777" w:rsidR="00D42293" w:rsidRDefault="00000000">
            <w:r>
              <w:rPr>
                <w:rFonts w:ascii="Times New Roman" w:hAnsi="Times New Roman"/>
                <w:sz w:val="20"/>
              </w:rPr>
              <w:t>('Explainable AI' OR 'XAI' OR 'SHAP' OR 'feature attribution') AND ('environmental modeling' OR 'auditing')</w:t>
            </w:r>
          </w:p>
        </w:tc>
        <w:tc>
          <w:tcPr>
            <w:tcW w:w="2736" w:type="dxa"/>
          </w:tcPr>
          <w:p w14:paraId="6DB9FEA8" w14:textId="77777777" w:rsidR="00D42293" w:rsidRDefault="00000000">
            <w:r>
              <w:rPr>
                <w:rFonts w:ascii="Times New Roman" w:hAnsi="Times New Roman"/>
                <w:sz w:val="20"/>
              </w:rPr>
              <w:t>Transparent, auditor-ready model interpretability</w:t>
            </w:r>
          </w:p>
        </w:tc>
      </w:tr>
    </w:tbl>
    <w:p w14:paraId="17FAB282" w14:textId="77777777" w:rsidR="00D42293" w:rsidRDefault="00D42293">
      <w:pPr>
        <w:spacing w:before="40" w:after="120"/>
      </w:pPr>
    </w:p>
    <w:p w14:paraId="079EE212" w14:textId="21567454" w:rsidR="00D42293" w:rsidRDefault="00A90D3E">
      <w:pPr>
        <w:spacing w:after="120" w:line="360" w:lineRule="exact"/>
        <w:jc w:val="both"/>
      </w:pPr>
      <w:r w:rsidRPr="00A90D3E">
        <w:rPr>
          <w:rFonts w:ascii="Times New Roman" w:hAnsi="Times New Roman"/>
          <w:sz w:val="24"/>
        </w:rPr>
        <w:t xml:space="preserve">The initial search query yielded 134 candidate publications. Inclusion and exclusion criteria were applied systematically: peer-reviewed journal articles, premier machine learning conference proceedings, intergovernmental climate assessments, </w:t>
      </w:r>
      <w:r w:rsidR="000B1B38" w:rsidRPr="00A90D3E">
        <w:rPr>
          <w:rFonts w:ascii="Times New Roman" w:hAnsi="Times New Roman"/>
          <w:sz w:val="24"/>
        </w:rPr>
        <w:t>constitutional</w:t>
      </w:r>
      <w:r w:rsidRPr="00A90D3E">
        <w:rPr>
          <w:rFonts w:ascii="Times New Roman" w:hAnsi="Times New Roman"/>
          <w:sz w:val="24"/>
        </w:rPr>
        <w:t xml:space="preserve"> government </w:t>
      </w:r>
      <w:r w:rsidR="000B1B38" w:rsidRPr="00A90D3E">
        <w:rPr>
          <w:rFonts w:ascii="Times New Roman" w:hAnsi="Times New Roman"/>
          <w:sz w:val="24"/>
        </w:rPr>
        <w:t>verdict</w:t>
      </w:r>
      <w:r w:rsidRPr="00A90D3E">
        <w:rPr>
          <w:rFonts w:ascii="Times New Roman" w:hAnsi="Times New Roman"/>
          <w:sz w:val="24"/>
        </w:rPr>
        <w:t xml:space="preserve">-laws, international carbon standards, and authoritative investigative news reports </w:t>
      </w:r>
      <w:r w:rsidRPr="00A90D3E">
        <w:rPr>
          <w:rFonts w:ascii="Times New Roman" w:hAnsi="Times New Roman"/>
          <w:sz w:val="24"/>
        </w:rPr>
        <w:lastRenderedPageBreak/>
        <w:t>appearing in the literature between 2008-2026 were retained. Purely terrestrial forest studies with no relevance to coastal wetlands, and unsubstantiated preprints were excluded. Snowball sampling of the bibliographies of the most influential papers yielded a final corpus of 55 authoritative sources which are classified and discussed in detail in this chapter.</w:t>
      </w:r>
    </w:p>
    <w:p w14:paraId="755392E5" w14:textId="77777777" w:rsidR="00D42293" w:rsidRDefault="00000000">
      <w:pPr>
        <w:keepNext/>
        <w:spacing w:before="280" w:after="120"/>
      </w:pPr>
      <w:r>
        <w:rPr>
          <w:rFonts w:ascii="Times New Roman" w:hAnsi="Times New Roman"/>
          <w:b/>
          <w:color w:val="005078"/>
          <w:sz w:val="26"/>
        </w:rPr>
        <w:t>2.2 Chronological Evolution of Remote Sensing in Mangrove Biomass</w:t>
      </w:r>
    </w:p>
    <w:p w14:paraId="22374A89" w14:textId="2646D4F0" w:rsidR="00D42293" w:rsidRDefault="000B1B38">
      <w:pPr>
        <w:spacing w:after="120" w:line="360" w:lineRule="exact"/>
        <w:jc w:val="both"/>
      </w:pPr>
      <w:r w:rsidRPr="000B1B38">
        <w:rPr>
          <w:rFonts w:ascii="Times New Roman" w:hAnsi="Times New Roman"/>
          <w:sz w:val="24"/>
        </w:rPr>
        <w:t>The academic field of mangrove biomass monitoring has passed through three distinct technological epochs in the last two decades</w:t>
      </w:r>
      <w:r>
        <w:rPr>
          <w:rFonts w:ascii="Times New Roman" w:hAnsi="Times New Roman"/>
          <w:sz w:val="24"/>
        </w:rPr>
        <w:t>:</w:t>
      </w:r>
    </w:p>
    <w:p w14:paraId="3E33409D" w14:textId="77777777" w:rsidR="00D42293" w:rsidRDefault="00000000">
      <w:pPr>
        <w:keepNext/>
        <w:spacing w:before="200" w:after="80"/>
      </w:pPr>
      <w:r>
        <w:rPr>
          <w:rFonts w:ascii="Times New Roman" w:hAnsi="Times New Roman"/>
          <w:b/>
          <w:i/>
          <w:color w:val="282828"/>
          <w:sz w:val="24"/>
        </w:rPr>
        <w:t>2.2.1 Pre-2010: Destructive Field Surveys and Coarse Optical Imagery</w:t>
      </w:r>
    </w:p>
    <w:p w14:paraId="0C6E55CA" w14:textId="77777777" w:rsidR="000B1B38" w:rsidRPr="000B1B38" w:rsidRDefault="000B1B38" w:rsidP="000B1B38">
      <w:pPr>
        <w:spacing w:after="120" w:line="360" w:lineRule="exact"/>
        <w:jc w:val="both"/>
        <w:rPr>
          <w:rFonts w:ascii="Times New Roman" w:hAnsi="Times New Roman"/>
          <w:sz w:val="24"/>
          <w:lang w:val="en-IN"/>
        </w:rPr>
      </w:pPr>
      <w:r w:rsidRPr="000B1B38">
        <w:rPr>
          <w:rFonts w:ascii="Times New Roman" w:hAnsi="Times New Roman"/>
          <w:sz w:val="24"/>
          <w:lang w:val="en-IN"/>
        </w:rPr>
        <w:t>Prior to 2010, mangrove biomass had been sampled almost exclusively through localized, destructive allometric harvests. Komiyama et al. (2008) have determined empirical allometric power equations which related above-ground biomass to tree Diameter at Breast Height (DBH) and wood density. Allometric equations, while the ground-truth benchmark, are inherently destructive, physically laborious, and scale poorly across national coastlines. The satellite remote sensing during this era was constrained to optical sensors (Landsat 5/7, 30-meter pixel resolution) and coarse digital elevation models (Shuttle Radar Topography Mission, SRTM) (Fatoyinbo et al., 2008). While the Landsat could distinguish vegetative green cover from bare ground, it suffered from frequent cloud obscuration in the tropics and could not capture vertical 3D canopy geometry. Moreover, before the Paris Agreement was signed, there was no economic demand for certified carbon offset, and therefore mangrove monitoring remained confined to academic ecological surveys.</w:t>
      </w:r>
    </w:p>
    <w:p w14:paraId="4F428E84" w14:textId="7FDDEACA" w:rsidR="00D42293" w:rsidRDefault="00D42293">
      <w:pPr>
        <w:spacing w:after="120" w:line="360" w:lineRule="exact"/>
        <w:jc w:val="both"/>
      </w:pPr>
    </w:p>
    <w:p w14:paraId="476242BB" w14:textId="77777777" w:rsidR="00D42293" w:rsidRDefault="00000000">
      <w:pPr>
        <w:keepNext/>
        <w:spacing w:before="200" w:after="80"/>
      </w:pPr>
      <w:r>
        <w:rPr>
          <w:rFonts w:ascii="Times New Roman" w:hAnsi="Times New Roman"/>
          <w:b/>
          <w:i/>
          <w:color w:val="282828"/>
          <w:sz w:val="24"/>
        </w:rPr>
        <w:t>2.2.2 2010–2018: Multispectral Constellations, Radar Fusion, and Machine Learning</w:t>
      </w:r>
    </w:p>
    <w:p w14:paraId="61FEA0A4" w14:textId="06AE3DB5" w:rsidR="00F50BA9" w:rsidRPr="00F50BA9" w:rsidRDefault="00F50BA9" w:rsidP="00F50BA9">
      <w:pPr>
        <w:spacing w:after="120" w:line="360" w:lineRule="exact"/>
        <w:jc w:val="both"/>
        <w:rPr>
          <w:rFonts w:ascii="Times New Roman" w:hAnsi="Times New Roman"/>
          <w:sz w:val="24"/>
          <w:lang w:val="en-IN"/>
        </w:rPr>
      </w:pPr>
      <w:r w:rsidRPr="00F50BA9">
        <w:rPr>
          <w:rFonts w:ascii="Times New Roman" w:hAnsi="Times New Roman"/>
          <w:sz w:val="24"/>
          <w:lang w:val="en-IN"/>
        </w:rPr>
        <w:t xml:space="preserve">The launch of European Space Agency’s (ESA) Copernicus constellation </w:t>
      </w:r>
      <w:r>
        <w:rPr>
          <w:rFonts w:ascii="Times New Roman" w:hAnsi="Times New Roman"/>
          <w:sz w:val="24"/>
          <w:lang w:val="en-IN"/>
        </w:rPr>
        <w:t>–</w:t>
      </w:r>
      <w:r w:rsidRPr="00F50BA9">
        <w:rPr>
          <w:rFonts w:ascii="Times New Roman" w:hAnsi="Times New Roman"/>
          <w:sz w:val="24"/>
          <w:lang w:val="en-IN"/>
        </w:rPr>
        <w:t xml:space="preserve"> Sentinel</w:t>
      </w:r>
      <w:r>
        <w:rPr>
          <w:rFonts w:ascii="Times New Roman" w:hAnsi="Times New Roman"/>
          <w:sz w:val="24"/>
          <w:lang w:val="en-IN"/>
        </w:rPr>
        <w:t>-</w:t>
      </w:r>
      <w:r w:rsidRPr="00F50BA9">
        <w:rPr>
          <w:rFonts w:ascii="Times New Roman" w:hAnsi="Times New Roman"/>
          <w:sz w:val="24"/>
          <w:lang w:val="en-IN"/>
        </w:rPr>
        <w:t>1 SAR (2014) and Sentinel-2 Multi-Spectral Instrument (2015)</w:t>
      </w:r>
      <w:r>
        <w:rPr>
          <w:rFonts w:ascii="Times New Roman" w:hAnsi="Times New Roman"/>
          <w:sz w:val="24"/>
          <w:lang w:val="en-IN"/>
        </w:rPr>
        <w:t xml:space="preserve"> </w:t>
      </w:r>
      <w:r w:rsidRPr="00F50BA9">
        <w:rPr>
          <w:rFonts w:ascii="Times New Roman" w:hAnsi="Times New Roman"/>
          <w:sz w:val="24"/>
          <w:lang w:val="en-IN"/>
        </w:rPr>
        <w:t>enabled a sea-change in coastal monitoring. The Sentinel-2 provides free, open-access optical data at 10-meter spatial resolution with 5-day revisit frequency, including critical red-edge spectral bands (B5, B6, B7, B8A) to detect chlorophyll absorption. It was simultaneously complemented by Sentinel-1 dual-polarisation C-band Synthetic Aperture Radar (SAR) operating at 5.405 GHz. In particular, the C-band signals are able to penetrate the persistent cloud cover, haze and coastal atmospheric aerosol layers, which had blinded optical sensors in the arid maritime regions prior.</w:t>
      </w:r>
    </w:p>
    <w:p w14:paraId="006591EB" w14:textId="77777777" w:rsidR="00F50BA9" w:rsidRPr="00F50BA9" w:rsidRDefault="00F50BA9" w:rsidP="00F50BA9">
      <w:pPr>
        <w:spacing w:after="120" w:line="360" w:lineRule="exact"/>
        <w:jc w:val="both"/>
        <w:rPr>
          <w:lang w:val="en-IN"/>
        </w:rPr>
      </w:pPr>
      <w:r w:rsidRPr="00F50BA9">
        <w:rPr>
          <w:rFonts w:ascii="Times New Roman" w:hAnsi="Times New Roman"/>
          <w:sz w:val="24"/>
          <w:lang w:val="en-IN"/>
        </w:rPr>
        <w:lastRenderedPageBreak/>
        <w:t>During this period, optical and radar telemetry had been fused using conventional supervised machine learning to classify mangroves. For instance, Aslan et al. (2016) showed that the combination of Sentinel-1 SAR backscatter with Sentinel-2 vegetation indices improved mangrove classification in cloud-prone Indonesian wetlands. Subsequently, Wang et al. (2019) performed a landmark multi-decadal review, which showed that the ratio of the vertical-transmit vertical-receive (VV) to vertical-transmit horizontal-receive (VH) backscatter is a sensitive proxy to canopy volume and structural roughness. Meanwhile, the traditional parametric classifiers have been superseded by machine learning algorithms such as Random Forest (RF) and Support Vector Machines (SVM) (Pham et al., 2019). Nevertheless, the algorithms were fundamentally limited to 2D pixel-level classifications, without true 3D height calibration and spatial connectivity of the mangrove patches.</w:t>
      </w:r>
    </w:p>
    <w:p w14:paraId="60C09E4C" w14:textId="0837815F" w:rsidR="00D42293" w:rsidRDefault="00D42293">
      <w:pPr>
        <w:spacing w:after="120" w:line="360" w:lineRule="exact"/>
        <w:jc w:val="both"/>
      </w:pPr>
    </w:p>
    <w:p w14:paraId="5885A82B" w14:textId="77777777" w:rsidR="00D42293" w:rsidRDefault="00000000">
      <w:pPr>
        <w:keepNext/>
        <w:spacing w:before="200" w:after="80"/>
      </w:pPr>
      <w:r>
        <w:rPr>
          <w:rFonts w:ascii="Times New Roman" w:hAnsi="Times New Roman"/>
          <w:b/>
          <w:i/>
          <w:color w:val="282828"/>
          <w:sz w:val="24"/>
        </w:rPr>
        <w:t>2.2.3 2018–Present: Spaceborne LiDAR, Deep Learning, and Explainable AI</w:t>
      </w:r>
    </w:p>
    <w:p w14:paraId="169B36DE" w14:textId="52AEA9E9" w:rsidR="00F50BA9" w:rsidRPr="00F50BA9" w:rsidRDefault="00F50BA9" w:rsidP="00F50BA9">
      <w:pPr>
        <w:spacing w:after="120" w:line="360" w:lineRule="exact"/>
        <w:jc w:val="both"/>
        <w:rPr>
          <w:rFonts w:ascii="Times New Roman" w:hAnsi="Times New Roman"/>
          <w:sz w:val="24"/>
        </w:rPr>
      </w:pPr>
      <w:r w:rsidRPr="00F50BA9">
        <w:rPr>
          <w:rFonts w:ascii="Times New Roman" w:hAnsi="Times New Roman"/>
          <w:sz w:val="24"/>
        </w:rPr>
        <w:t xml:space="preserve">The </w:t>
      </w:r>
      <w:r w:rsidR="00645499" w:rsidRPr="00F50BA9">
        <w:rPr>
          <w:rFonts w:ascii="Times New Roman" w:hAnsi="Times New Roman"/>
          <w:sz w:val="24"/>
        </w:rPr>
        <w:t>modern</w:t>
      </w:r>
      <w:r w:rsidRPr="00F50BA9">
        <w:rPr>
          <w:rFonts w:ascii="Times New Roman" w:hAnsi="Times New Roman"/>
          <w:sz w:val="24"/>
        </w:rPr>
        <w:t xml:space="preserve"> era began with the launch of NASA’s Global Ecosystem Dynamics Investigation (GEDI) LiDAR instrument on the International Space Station (ISS) in late 2018 (Dubayah et al., 2020). It fires high-power 1064 nm laser pulses to sample vertical canopy height profiles and above-ground biomass at a 25-meter footprint resolution. GEDI represents the gold-standard for global canopy structure, but its near-equatorial orbit (51.6° inclination) on the ISS creates massive geographical gaps in the subtropical regions (e.g. UAE coast). To fill the LiDAR gaps, researchers began exploring neural imputation and domain adaptation (Lang et al., 2023) to predict GEDI structural metrics from wall-to-wall Sentinel imagery with deep convolutional networks.</w:t>
      </w:r>
    </w:p>
    <w:p w14:paraId="5B94B093" w14:textId="5C9EE556" w:rsidR="00F50BA9" w:rsidRPr="00F50BA9" w:rsidRDefault="00645499" w:rsidP="00F50BA9">
      <w:pPr>
        <w:spacing w:after="120" w:line="360" w:lineRule="exact"/>
        <w:jc w:val="both"/>
        <w:rPr>
          <w:rFonts w:ascii="Times New Roman" w:hAnsi="Times New Roman"/>
          <w:sz w:val="24"/>
        </w:rPr>
      </w:pPr>
      <w:r w:rsidRPr="00F50BA9">
        <w:rPr>
          <w:rFonts w:ascii="Times New Roman" w:hAnsi="Times New Roman"/>
          <w:sz w:val="24"/>
        </w:rPr>
        <w:t>Simultaneously</w:t>
      </w:r>
      <w:r w:rsidR="00F50BA9" w:rsidRPr="00F50BA9">
        <w:rPr>
          <w:rFonts w:ascii="Times New Roman" w:hAnsi="Times New Roman"/>
          <w:sz w:val="24"/>
        </w:rPr>
        <w:t>, the field of deep learning has shifted towards relational graph representations. While the Convolutional Neural Networks (CNNs) (Kussul et al., 2017) are good at image feature extraction, they process space as Euclidean grids. In the coastal hydrology, mangrove ecosystems operate as interconnected networks where the tidal channels transport nutrients, sediment, and organic carbon across patches. The advent of Spatio-Temporal Graph Neural Networks (ST-GNNs) (Yu et al., 2018; Wu et al., 2020) represented a paradigm shift, which could encode both spatial graph topology and temporal dynamics. Finally, the dramatic rise in carbon credit market valuation has driven an urgent need for model interpretability, elevating Explainable AI (XAI) frameworks such as SHAP (Lundberg &amp; Lee, 2017) to regulatory prominence.</w:t>
      </w:r>
    </w:p>
    <w:p w14:paraId="12D9A939" w14:textId="77777777" w:rsidR="00F50BA9" w:rsidRDefault="00F50BA9">
      <w:pPr>
        <w:spacing w:after="120" w:line="360" w:lineRule="exact"/>
        <w:jc w:val="both"/>
      </w:pPr>
    </w:p>
    <w:p w14:paraId="640C019E" w14:textId="77777777" w:rsidR="00D42293" w:rsidRDefault="00000000">
      <w:pPr>
        <w:keepNext/>
        <w:spacing w:before="280" w:after="120"/>
      </w:pPr>
      <w:r>
        <w:rPr>
          <w:rFonts w:ascii="Times New Roman" w:hAnsi="Times New Roman"/>
          <w:b/>
          <w:color w:val="005078"/>
          <w:sz w:val="26"/>
        </w:rPr>
        <w:lastRenderedPageBreak/>
        <w:t>2.3 Typology of Publications in the Systematic Database</w:t>
      </w:r>
    </w:p>
    <w:p w14:paraId="3BA704D5" w14:textId="034B7423" w:rsidR="00D42293" w:rsidRDefault="009E61F2">
      <w:pPr>
        <w:spacing w:after="120" w:line="360" w:lineRule="exact"/>
        <w:jc w:val="both"/>
      </w:pPr>
      <w:r w:rsidRPr="009E61F2">
        <w:rPr>
          <w:rFonts w:ascii="Times New Roman" w:hAnsi="Times New Roman"/>
          <w:sz w:val="24"/>
        </w:rPr>
        <w:t>To establish an evidence-based foundation, the 55 core sources composing the systematic literature database were classified according to publication typology (see Table 2.2 below).</w:t>
      </w:r>
    </w:p>
    <w:p w14:paraId="11713194" w14:textId="77777777" w:rsidR="00D42293" w:rsidRDefault="00000000">
      <w:pPr>
        <w:spacing w:before="200" w:after="80"/>
      </w:pPr>
      <w:r>
        <w:rPr>
          <w:rFonts w:ascii="Times New Roman" w:hAnsi="Times New Roman"/>
          <w:b/>
          <w:color w:val="1E1E1E"/>
        </w:rPr>
        <w:t>Table 2.2: Typology of Academic, Statutory, and Authoritative Sources in the Systematic Literature Database.</w:t>
      </w:r>
    </w:p>
    <w:tbl>
      <w:tblPr>
        <w:tblStyle w:val="TableGrid"/>
        <w:tblW w:w="0" w:type="auto"/>
        <w:jc w:val="center"/>
        <w:tblLook w:val="04A0" w:firstRow="1" w:lastRow="0" w:firstColumn="1" w:lastColumn="0" w:noHBand="0" w:noVBand="1"/>
      </w:tblPr>
      <w:tblGrid>
        <w:gridCol w:w="3118"/>
        <w:gridCol w:w="999"/>
        <w:gridCol w:w="1570"/>
        <w:gridCol w:w="3529"/>
      </w:tblGrid>
      <w:tr w:rsidR="00D42293" w14:paraId="6C8A2521" w14:textId="77777777">
        <w:trPr>
          <w:jc w:val="center"/>
        </w:trPr>
        <w:tc>
          <w:tcPr>
            <w:tcW w:w="3168" w:type="dxa"/>
            <w:shd w:val="clear" w:color="auto" w:fill="E6ECF2"/>
          </w:tcPr>
          <w:p w14:paraId="3E87B835" w14:textId="77777777" w:rsidR="00D42293" w:rsidRDefault="00000000">
            <w:pPr>
              <w:jc w:val="center"/>
            </w:pPr>
            <w:r>
              <w:rPr>
                <w:rFonts w:ascii="Times New Roman" w:hAnsi="Times New Roman"/>
                <w:b/>
                <w:color w:val="003366"/>
                <w:sz w:val="20"/>
              </w:rPr>
              <w:t>Publication Type</w:t>
            </w:r>
          </w:p>
        </w:tc>
        <w:tc>
          <w:tcPr>
            <w:tcW w:w="1008" w:type="dxa"/>
            <w:shd w:val="clear" w:color="auto" w:fill="E6ECF2"/>
          </w:tcPr>
          <w:p w14:paraId="77B2A0FE" w14:textId="77777777" w:rsidR="00D42293" w:rsidRDefault="00000000">
            <w:pPr>
              <w:jc w:val="center"/>
            </w:pPr>
            <w:r>
              <w:rPr>
                <w:rFonts w:ascii="Times New Roman" w:hAnsi="Times New Roman"/>
                <w:b/>
                <w:color w:val="003366"/>
                <w:sz w:val="20"/>
              </w:rPr>
              <w:t>Count</w:t>
            </w:r>
          </w:p>
        </w:tc>
        <w:tc>
          <w:tcPr>
            <w:tcW w:w="1584" w:type="dxa"/>
            <w:shd w:val="clear" w:color="auto" w:fill="E6ECF2"/>
          </w:tcPr>
          <w:p w14:paraId="1AD72504" w14:textId="77777777" w:rsidR="00D42293" w:rsidRDefault="00000000">
            <w:pPr>
              <w:jc w:val="center"/>
            </w:pPr>
            <w:r>
              <w:rPr>
                <w:rFonts w:ascii="Times New Roman" w:hAnsi="Times New Roman"/>
                <w:b/>
                <w:color w:val="003366"/>
                <w:sz w:val="20"/>
              </w:rPr>
              <w:t>Percentage (%)</w:t>
            </w:r>
          </w:p>
        </w:tc>
        <w:tc>
          <w:tcPr>
            <w:tcW w:w="3600" w:type="dxa"/>
            <w:shd w:val="clear" w:color="auto" w:fill="E6ECF2"/>
          </w:tcPr>
          <w:p w14:paraId="4AB3BDEE" w14:textId="77777777" w:rsidR="00D42293" w:rsidRDefault="00000000">
            <w:pPr>
              <w:jc w:val="center"/>
            </w:pPr>
            <w:r>
              <w:rPr>
                <w:rFonts w:ascii="Times New Roman" w:hAnsi="Times New Roman"/>
                <w:b/>
                <w:color w:val="003366"/>
                <w:sz w:val="20"/>
              </w:rPr>
              <w:t>Representative Key Citations</w:t>
            </w:r>
          </w:p>
        </w:tc>
      </w:tr>
      <w:tr w:rsidR="00D42293" w14:paraId="59A444C4" w14:textId="77777777">
        <w:trPr>
          <w:jc w:val="center"/>
        </w:trPr>
        <w:tc>
          <w:tcPr>
            <w:tcW w:w="3168" w:type="dxa"/>
          </w:tcPr>
          <w:p w14:paraId="0ABF62BF" w14:textId="77777777" w:rsidR="00D42293" w:rsidRDefault="00000000">
            <w:r>
              <w:rPr>
                <w:rFonts w:ascii="Times New Roman" w:hAnsi="Times New Roman"/>
                <w:sz w:val="20"/>
              </w:rPr>
              <w:t>Peer-Reviewed Academic Journals</w:t>
            </w:r>
          </w:p>
        </w:tc>
        <w:tc>
          <w:tcPr>
            <w:tcW w:w="1008" w:type="dxa"/>
          </w:tcPr>
          <w:p w14:paraId="6B3BE152" w14:textId="77777777" w:rsidR="00D42293" w:rsidRDefault="00000000">
            <w:pPr>
              <w:jc w:val="center"/>
            </w:pPr>
            <w:r>
              <w:rPr>
                <w:rFonts w:ascii="Times New Roman" w:hAnsi="Times New Roman"/>
                <w:sz w:val="20"/>
              </w:rPr>
              <w:t>28</w:t>
            </w:r>
          </w:p>
        </w:tc>
        <w:tc>
          <w:tcPr>
            <w:tcW w:w="1584" w:type="dxa"/>
          </w:tcPr>
          <w:p w14:paraId="733FFFDF" w14:textId="77777777" w:rsidR="00D42293" w:rsidRDefault="00000000">
            <w:pPr>
              <w:jc w:val="center"/>
            </w:pPr>
            <w:r>
              <w:rPr>
                <w:rFonts w:ascii="Times New Roman" w:hAnsi="Times New Roman"/>
                <w:sz w:val="20"/>
              </w:rPr>
              <w:t>50.9%</w:t>
            </w:r>
          </w:p>
        </w:tc>
        <w:tc>
          <w:tcPr>
            <w:tcW w:w="3600" w:type="dxa"/>
          </w:tcPr>
          <w:p w14:paraId="7947FC3A" w14:textId="77777777" w:rsidR="00D42293" w:rsidRDefault="00000000">
            <w:r>
              <w:rPr>
                <w:rFonts w:ascii="Times New Roman" w:hAnsi="Times New Roman"/>
                <w:sz w:val="20"/>
              </w:rPr>
              <w:t>Alongi (2014, 2020), Aslan et al. (2016), Atwood et al. (2017), Donato et al. (2011), Dubayah et al. (2020), Duncanson et al. (2022), Lang et al. (2023), Murdiyarso et al. (2015)</w:t>
            </w:r>
          </w:p>
        </w:tc>
      </w:tr>
      <w:tr w:rsidR="00D42293" w14:paraId="318F10D3" w14:textId="77777777">
        <w:trPr>
          <w:jc w:val="center"/>
        </w:trPr>
        <w:tc>
          <w:tcPr>
            <w:tcW w:w="3168" w:type="dxa"/>
          </w:tcPr>
          <w:p w14:paraId="0DEEEB3F" w14:textId="77777777" w:rsidR="00D42293" w:rsidRDefault="00000000">
            <w:r>
              <w:rPr>
                <w:rFonts w:ascii="Times New Roman" w:hAnsi="Times New Roman"/>
                <w:sz w:val="20"/>
              </w:rPr>
              <w:t>Premier Machine Learning Conferences</w:t>
            </w:r>
          </w:p>
        </w:tc>
        <w:tc>
          <w:tcPr>
            <w:tcW w:w="1008" w:type="dxa"/>
          </w:tcPr>
          <w:p w14:paraId="21C393C6" w14:textId="77777777" w:rsidR="00D42293" w:rsidRDefault="00000000">
            <w:pPr>
              <w:jc w:val="center"/>
            </w:pPr>
            <w:r>
              <w:rPr>
                <w:rFonts w:ascii="Times New Roman" w:hAnsi="Times New Roman"/>
                <w:sz w:val="20"/>
              </w:rPr>
              <w:t>6</w:t>
            </w:r>
          </w:p>
        </w:tc>
        <w:tc>
          <w:tcPr>
            <w:tcW w:w="1584" w:type="dxa"/>
          </w:tcPr>
          <w:p w14:paraId="6708DC22" w14:textId="77777777" w:rsidR="00D42293" w:rsidRDefault="00000000">
            <w:pPr>
              <w:jc w:val="center"/>
            </w:pPr>
            <w:r>
              <w:rPr>
                <w:rFonts w:ascii="Times New Roman" w:hAnsi="Times New Roman"/>
                <w:sz w:val="20"/>
              </w:rPr>
              <w:t>10.9%</w:t>
            </w:r>
          </w:p>
        </w:tc>
        <w:tc>
          <w:tcPr>
            <w:tcW w:w="3600" w:type="dxa"/>
          </w:tcPr>
          <w:p w14:paraId="59F1EFF3" w14:textId="77777777" w:rsidR="00D42293" w:rsidRDefault="00000000">
            <w:r>
              <w:rPr>
                <w:rFonts w:ascii="Times New Roman" w:hAnsi="Times New Roman"/>
                <w:sz w:val="20"/>
              </w:rPr>
              <w:t>Kipf &amp; Welling (2017), Li et al. (2018), Lundberg &amp; Lee (2017), Slack et al. (2020), Wu et al. (2020), Yu et al. (2018)</w:t>
            </w:r>
          </w:p>
        </w:tc>
      </w:tr>
      <w:tr w:rsidR="00D42293" w14:paraId="66A46FB6" w14:textId="77777777">
        <w:trPr>
          <w:jc w:val="center"/>
        </w:trPr>
        <w:tc>
          <w:tcPr>
            <w:tcW w:w="3168" w:type="dxa"/>
          </w:tcPr>
          <w:p w14:paraId="5885366F" w14:textId="77777777" w:rsidR="00D42293" w:rsidRDefault="00000000">
            <w:r>
              <w:rPr>
                <w:rFonts w:ascii="Times New Roman" w:hAnsi="Times New Roman"/>
                <w:sz w:val="20"/>
              </w:rPr>
              <w:t>Intergovernmental Climate Assessments (IPCC/UNEP)</w:t>
            </w:r>
          </w:p>
        </w:tc>
        <w:tc>
          <w:tcPr>
            <w:tcW w:w="1008" w:type="dxa"/>
          </w:tcPr>
          <w:p w14:paraId="09861A9E" w14:textId="77777777" w:rsidR="00D42293" w:rsidRDefault="00000000">
            <w:pPr>
              <w:jc w:val="center"/>
            </w:pPr>
            <w:r>
              <w:rPr>
                <w:rFonts w:ascii="Times New Roman" w:hAnsi="Times New Roman"/>
                <w:sz w:val="20"/>
              </w:rPr>
              <w:t>5</w:t>
            </w:r>
          </w:p>
        </w:tc>
        <w:tc>
          <w:tcPr>
            <w:tcW w:w="1584" w:type="dxa"/>
          </w:tcPr>
          <w:p w14:paraId="78B7CE27" w14:textId="77777777" w:rsidR="00D42293" w:rsidRDefault="00000000">
            <w:pPr>
              <w:jc w:val="center"/>
            </w:pPr>
            <w:r>
              <w:rPr>
                <w:rFonts w:ascii="Times New Roman" w:hAnsi="Times New Roman"/>
                <w:sz w:val="20"/>
              </w:rPr>
              <w:t>9.1%</w:t>
            </w:r>
          </w:p>
        </w:tc>
        <w:tc>
          <w:tcPr>
            <w:tcW w:w="3600" w:type="dxa"/>
          </w:tcPr>
          <w:p w14:paraId="3E6C9532" w14:textId="77777777" w:rsidR="00D42293" w:rsidRDefault="00000000">
            <w:r>
              <w:rPr>
                <w:rFonts w:ascii="Times New Roman" w:hAnsi="Times New Roman"/>
                <w:sz w:val="20"/>
              </w:rPr>
              <w:t>IPCC (2013 Wetlands, 2021 Physical Science, 2023 Synthesis), UNEP (2023 Emissions Gap), UNFCCC (2015 Paris Agreement)</w:t>
            </w:r>
          </w:p>
        </w:tc>
      </w:tr>
      <w:tr w:rsidR="00D42293" w14:paraId="1AA24E89" w14:textId="77777777">
        <w:trPr>
          <w:jc w:val="center"/>
        </w:trPr>
        <w:tc>
          <w:tcPr>
            <w:tcW w:w="3168" w:type="dxa"/>
          </w:tcPr>
          <w:p w14:paraId="4D5E7D12" w14:textId="77777777" w:rsidR="00D42293" w:rsidRDefault="00000000">
            <w:r>
              <w:rPr>
                <w:rFonts w:ascii="Times New Roman" w:hAnsi="Times New Roman"/>
                <w:sz w:val="20"/>
              </w:rPr>
              <w:t>Sovereign Statutes &amp; Ministerial Policy Mandates</w:t>
            </w:r>
          </w:p>
        </w:tc>
        <w:tc>
          <w:tcPr>
            <w:tcW w:w="1008" w:type="dxa"/>
          </w:tcPr>
          <w:p w14:paraId="3CF10138" w14:textId="77777777" w:rsidR="00D42293" w:rsidRDefault="00000000">
            <w:pPr>
              <w:jc w:val="center"/>
            </w:pPr>
            <w:r>
              <w:rPr>
                <w:rFonts w:ascii="Times New Roman" w:hAnsi="Times New Roman"/>
                <w:sz w:val="20"/>
              </w:rPr>
              <w:t>4</w:t>
            </w:r>
          </w:p>
        </w:tc>
        <w:tc>
          <w:tcPr>
            <w:tcW w:w="1584" w:type="dxa"/>
          </w:tcPr>
          <w:p w14:paraId="04C8877B" w14:textId="77777777" w:rsidR="00D42293" w:rsidRDefault="00000000">
            <w:pPr>
              <w:jc w:val="center"/>
            </w:pPr>
            <w:r>
              <w:rPr>
                <w:rFonts w:ascii="Times New Roman" w:hAnsi="Times New Roman"/>
                <w:sz w:val="20"/>
              </w:rPr>
              <w:t>7.3%</w:t>
            </w:r>
          </w:p>
        </w:tc>
        <w:tc>
          <w:tcPr>
            <w:tcW w:w="3600" w:type="dxa"/>
          </w:tcPr>
          <w:p w14:paraId="1C022DC3" w14:textId="77777777" w:rsidR="00D42293" w:rsidRDefault="00000000">
            <w:r>
              <w:rPr>
                <w:rFonts w:ascii="Times New Roman" w:hAnsi="Times New Roman"/>
                <w:sz w:val="20"/>
              </w:rPr>
              <w:t>UAE Government (2023 Federal Decree-Law No. 11), MOCCAE (2021 100M Pledge, 2022 Corporate Pledge, 2023 Blue Carbon), World Bank (2022)</w:t>
            </w:r>
          </w:p>
        </w:tc>
      </w:tr>
      <w:tr w:rsidR="00D42293" w14:paraId="27ADC27D" w14:textId="77777777">
        <w:trPr>
          <w:jc w:val="center"/>
        </w:trPr>
        <w:tc>
          <w:tcPr>
            <w:tcW w:w="3168" w:type="dxa"/>
          </w:tcPr>
          <w:p w14:paraId="5FAB9630" w14:textId="77777777" w:rsidR="00D42293" w:rsidRDefault="00000000">
            <w:r>
              <w:rPr>
                <w:rFonts w:ascii="Times New Roman" w:hAnsi="Times New Roman"/>
                <w:sz w:val="20"/>
              </w:rPr>
              <w:t>International Carbon Standards &amp; Registry Rules</w:t>
            </w:r>
          </w:p>
        </w:tc>
        <w:tc>
          <w:tcPr>
            <w:tcW w:w="1008" w:type="dxa"/>
          </w:tcPr>
          <w:p w14:paraId="54ADA706" w14:textId="77777777" w:rsidR="00D42293" w:rsidRDefault="00000000">
            <w:pPr>
              <w:jc w:val="center"/>
            </w:pPr>
            <w:r>
              <w:rPr>
                <w:rFonts w:ascii="Times New Roman" w:hAnsi="Times New Roman"/>
                <w:sz w:val="20"/>
              </w:rPr>
              <w:t>2</w:t>
            </w:r>
          </w:p>
        </w:tc>
        <w:tc>
          <w:tcPr>
            <w:tcW w:w="1584" w:type="dxa"/>
          </w:tcPr>
          <w:p w14:paraId="24ED6720" w14:textId="77777777" w:rsidR="00D42293" w:rsidRDefault="00000000">
            <w:pPr>
              <w:jc w:val="center"/>
            </w:pPr>
            <w:r>
              <w:rPr>
                <w:rFonts w:ascii="Times New Roman" w:hAnsi="Times New Roman"/>
                <w:sz w:val="20"/>
              </w:rPr>
              <w:t>3.6%</w:t>
            </w:r>
          </w:p>
        </w:tc>
        <w:tc>
          <w:tcPr>
            <w:tcW w:w="3600" w:type="dxa"/>
          </w:tcPr>
          <w:p w14:paraId="4299F737" w14:textId="77777777" w:rsidR="00D42293" w:rsidRDefault="00000000">
            <w:r>
              <w:rPr>
                <w:rFonts w:ascii="Times New Roman" w:hAnsi="Times New Roman"/>
                <w:sz w:val="20"/>
              </w:rPr>
              <w:t>Verra VM0033 Methodology (2022), Verra VCS Program Guide (2023)</w:t>
            </w:r>
          </w:p>
        </w:tc>
      </w:tr>
      <w:tr w:rsidR="00D42293" w14:paraId="35C15FD1" w14:textId="77777777">
        <w:trPr>
          <w:jc w:val="center"/>
        </w:trPr>
        <w:tc>
          <w:tcPr>
            <w:tcW w:w="3168" w:type="dxa"/>
          </w:tcPr>
          <w:p w14:paraId="500AF027" w14:textId="77777777" w:rsidR="00D42293" w:rsidRDefault="00000000">
            <w:r>
              <w:rPr>
                <w:rFonts w:ascii="Times New Roman" w:hAnsi="Times New Roman"/>
                <w:sz w:val="20"/>
              </w:rPr>
              <w:t>Authoritative Investigative News &amp; Financial Media</w:t>
            </w:r>
          </w:p>
        </w:tc>
        <w:tc>
          <w:tcPr>
            <w:tcW w:w="1008" w:type="dxa"/>
          </w:tcPr>
          <w:p w14:paraId="4EABF197" w14:textId="77777777" w:rsidR="00D42293" w:rsidRDefault="00000000">
            <w:pPr>
              <w:jc w:val="center"/>
            </w:pPr>
            <w:r>
              <w:rPr>
                <w:rFonts w:ascii="Times New Roman" w:hAnsi="Times New Roman"/>
                <w:sz w:val="20"/>
              </w:rPr>
              <w:t>5</w:t>
            </w:r>
          </w:p>
        </w:tc>
        <w:tc>
          <w:tcPr>
            <w:tcW w:w="1584" w:type="dxa"/>
          </w:tcPr>
          <w:p w14:paraId="35601D80" w14:textId="77777777" w:rsidR="00D42293" w:rsidRDefault="00000000">
            <w:pPr>
              <w:jc w:val="center"/>
            </w:pPr>
            <w:r>
              <w:rPr>
                <w:rFonts w:ascii="Times New Roman" w:hAnsi="Times New Roman"/>
                <w:sz w:val="20"/>
              </w:rPr>
              <w:t>9.1%</w:t>
            </w:r>
          </w:p>
        </w:tc>
        <w:tc>
          <w:tcPr>
            <w:tcW w:w="3600" w:type="dxa"/>
          </w:tcPr>
          <w:p w14:paraId="435883B4" w14:textId="77777777" w:rsidR="00D42293" w:rsidRDefault="00000000">
            <w:r>
              <w:rPr>
                <w:rFonts w:ascii="Times New Roman" w:hAnsi="Times New Roman"/>
                <w:sz w:val="20"/>
              </w:rPr>
              <w:t>The National (2022), WAM (2022), Reuters (2023), Bloomberg Green (2023), ADGM (2022 Regulatory Framework)</w:t>
            </w:r>
          </w:p>
        </w:tc>
      </w:tr>
      <w:tr w:rsidR="00D42293" w14:paraId="0B024DA2" w14:textId="77777777">
        <w:trPr>
          <w:jc w:val="center"/>
        </w:trPr>
        <w:tc>
          <w:tcPr>
            <w:tcW w:w="3168" w:type="dxa"/>
          </w:tcPr>
          <w:p w14:paraId="56859D15" w14:textId="77777777" w:rsidR="00D42293" w:rsidRDefault="00000000">
            <w:r>
              <w:rPr>
                <w:rFonts w:ascii="Times New Roman" w:hAnsi="Times New Roman"/>
                <w:sz w:val="20"/>
              </w:rPr>
              <w:t>Academic Monographs &amp; Review Treatises</w:t>
            </w:r>
          </w:p>
        </w:tc>
        <w:tc>
          <w:tcPr>
            <w:tcW w:w="1008" w:type="dxa"/>
          </w:tcPr>
          <w:p w14:paraId="5EE80565" w14:textId="77777777" w:rsidR="00D42293" w:rsidRDefault="00000000">
            <w:pPr>
              <w:jc w:val="center"/>
            </w:pPr>
            <w:r>
              <w:rPr>
                <w:rFonts w:ascii="Times New Roman" w:hAnsi="Times New Roman"/>
                <w:sz w:val="20"/>
              </w:rPr>
              <w:t>5</w:t>
            </w:r>
          </w:p>
        </w:tc>
        <w:tc>
          <w:tcPr>
            <w:tcW w:w="1584" w:type="dxa"/>
          </w:tcPr>
          <w:p w14:paraId="0623DA92" w14:textId="77777777" w:rsidR="00D42293" w:rsidRDefault="00000000">
            <w:pPr>
              <w:jc w:val="center"/>
            </w:pPr>
            <w:r>
              <w:rPr>
                <w:rFonts w:ascii="Times New Roman" w:hAnsi="Times New Roman"/>
                <w:sz w:val="20"/>
              </w:rPr>
              <w:t>9.1%</w:t>
            </w:r>
          </w:p>
        </w:tc>
        <w:tc>
          <w:tcPr>
            <w:tcW w:w="3600" w:type="dxa"/>
          </w:tcPr>
          <w:p w14:paraId="2884D594" w14:textId="77777777" w:rsidR="00D42293" w:rsidRDefault="00000000">
            <w:r>
              <w:rPr>
                <w:rFonts w:ascii="Times New Roman" w:hAnsi="Times New Roman"/>
                <w:sz w:val="20"/>
              </w:rPr>
              <w:t>Baryannis et al. (2019), Hevner et al. (2004), Molnar (2020), Pham et al. (2019), Tuia et al. (2016)</w:t>
            </w:r>
          </w:p>
        </w:tc>
      </w:tr>
      <w:tr w:rsidR="00D42293" w14:paraId="663AF412" w14:textId="77777777">
        <w:trPr>
          <w:jc w:val="center"/>
        </w:trPr>
        <w:tc>
          <w:tcPr>
            <w:tcW w:w="3168" w:type="dxa"/>
          </w:tcPr>
          <w:p w14:paraId="72690289" w14:textId="77777777" w:rsidR="00D42293" w:rsidRDefault="00000000">
            <w:r>
              <w:rPr>
                <w:rFonts w:ascii="Times New Roman" w:hAnsi="Times New Roman"/>
                <w:sz w:val="20"/>
              </w:rPr>
              <w:t>Total Systematic Database</w:t>
            </w:r>
          </w:p>
        </w:tc>
        <w:tc>
          <w:tcPr>
            <w:tcW w:w="1008" w:type="dxa"/>
          </w:tcPr>
          <w:p w14:paraId="419334EF" w14:textId="77777777" w:rsidR="00D42293" w:rsidRDefault="00000000">
            <w:pPr>
              <w:jc w:val="center"/>
            </w:pPr>
            <w:r>
              <w:rPr>
                <w:rFonts w:ascii="Times New Roman" w:hAnsi="Times New Roman"/>
                <w:sz w:val="20"/>
              </w:rPr>
              <w:t>55</w:t>
            </w:r>
          </w:p>
        </w:tc>
        <w:tc>
          <w:tcPr>
            <w:tcW w:w="1584" w:type="dxa"/>
          </w:tcPr>
          <w:p w14:paraId="476295B5" w14:textId="77777777" w:rsidR="00D42293" w:rsidRDefault="00000000">
            <w:pPr>
              <w:jc w:val="center"/>
            </w:pPr>
            <w:r>
              <w:rPr>
                <w:rFonts w:ascii="Times New Roman" w:hAnsi="Times New Roman"/>
                <w:sz w:val="20"/>
              </w:rPr>
              <w:t>100.0%</w:t>
            </w:r>
          </w:p>
        </w:tc>
        <w:tc>
          <w:tcPr>
            <w:tcW w:w="3600" w:type="dxa"/>
          </w:tcPr>
          <w:p w14:paraId="2C161546" w14:textId="77777777" w:rsidR="00D42293" w:rsidRDefault="00000000">
            <w:r>
              <w:rPr>
                <w:rFonts w:ascii="Times New Roman" w:hAnsi="Times New Roman"/>
                <w:sz w:val="20"/>
              </w:rPr>
              <w:t>Complete corpus systematically referenced across all dissertation chapters</w:t>
            </w:r>
          </w:p>
        </w:tc>
      </w:tr>
    </w:tbl>
    <w:p w14:paraId="7EB247FA" w14:textId="77777777" w:rsidR="00D42293" w:rsidRDefault="00D42293">
      <w:pPr>
        <w:spacing w:before="40" w:after="120"/>
      </w:pPr>
    </w:p>
    <w:p w14:paraId="36A0FAF3" w14:textId="0D9A0AE4" w:rsidR="006D2909" w:rsidRDefault="006D2909">
      <w:pPr>
        <w:spacing w:after="120" w:line="360" w:lineRule="exact"/>
        <w:jc w:val="both"/>
        <w:rPr>
          <w:rFonts w:ascii="Times New Roman" w:hAnsi="Times New Roman"/>
          <w:sz w:val="24"/>
        </w:rPr>
      </w:pPr>
      <w:r w:rsidRPr="006D2909">
        <w:rPr>
          <w:rFonts w:ascii="Times New Roman" w:hAnsi="Times New Roman"/>
          <w:sz w:val="24"/>
        </w:rPr>
        <w:t xml:space="preserve">The inclusion of non-journal literature, including intergovernmental scientific assessments, </w:t>
      </w:r>
      <w:r w:rsidR="009E679D" w:rsidRPr="006D2909">
        <w:rPr>
          <w:rFonts w:ascii="Times New Roman" w:hAnsi="Times New Roman"/>
          <w:sz w:val="24"/>
        </w:rPr>
        <w:t>constitutional</w:t>
      </w:r>
      <w:r w:rsidRPr="006D2909">
        <w:rPr>
          <w:rFonts w:ascii="Times New Roman" w:hAnsi="Times New Roman"/>
          <w:sz w:val="24"/>
        </w:rPr>
        <w:t xml:space="preserve"> legislative gazettes, and official </w:t>
      </w:r>
      <w:r w:rsidR="009E679D" w:rsidRPr="006D2909">
        <w:rPr>
          <w:rFonts w:ascii="Times New Roman" w:hAnsi="Times New Roman"/>
          <w:sz w:val="24"/>
        </w:rPr>
        <w:t>governmental</w:t>
      </w:r>
      <w:r w:rsidRPr="006D2909">
        <w:rPr>
          <w:rFonts w:ascii="Times New Roman" w:hAnsi="Times New Roman"/>
          <w:sz w:val="24"/>
        </w:rPr>
        <w:t xml:space="preserve"> policy frameworks, is indicative of meticulous academic standards rather than a casual compromise. As per the Middlesex University Dubai Research Methods guidelines and as stressed in faculty dissertation seminars, an effective literature review should not deliberately constrain itself to journal sources alone. Legitimate, verifiable sources including industry case studies, official government </w:t>
      </w:r>
      <w:r w:rsidR="009E679D" w:rsidRPr="006D2909">
        <w:rPr>
          <w:rFonts w:ascii="Times New Roman" w:hAnsi="Times New Roman"/>
          <w:sz w:val="24"/>
        </w:rPr>
        <w:t>laws</w:t>
      </w:r>
      <w:r w:rsidRPr="006D2909">
        <w:rPr>
          <w:rFonts w:ascii="Times New Roman" w:hAnsi="Times New Roman"/>
          <w:sz w:val="24"/>
        </w:rPr>
        <w:t xml:space="preserve">, and verified news reporting can be perfectly valid when researching socio-technological and financial systems. In fast-moving </w:t>
      </w:r>
      <w:r w:rsidR="009E679D" w:rsidRPr="006D2909">
        <w:rPr>
          <w:rFonts w:ascii="Times New Roman" w:hAnsi="Times New Roman"/>
          <w:sz w:val="24"/>
        </w:rPr>
        <w:t>domains</w:t>
      </w:r>
      <w:r w:rsidRPr="006D2909">
        <w:rPr>
          <w:rFonts w:ascii="Times New Roman" w:hAnsi="Times New Roman"/>
          <w:sz w:val="24"/>
        </w:rPr>
        <w:t xml:space="preserve"> such as sovereign carbon markets and national environmental law, peer-reviewed academic journal publications suffer from a 12 to 24-month peer-review publication latency. </w:t>
      </w:r>
      <w:r w:rsidR="009E679D" w:rsidRPr="006D2909">
        <w:rPr>
          <w:rFonts w:ascii="Times New Roman" w:hAnsi="Times New Roman"/>
          <w:sz w:val="24"/>
        </w:rPr>
        <w:t>Important</w:t>
      </w:r>
      <w:r w:rsidRPr="006D2909">
        <w:rPr>
          <w:rFonts w:ascii="Times New Roman" w:hAnsi="Times New Roman"/>
          <w:sz w:val="24"/>
        </w:rPr>
        <w:t xml:space="preserve"> </w:t>
      </w:r>
      <w:r w:rsidR="009E679D" w:rsidRPr="006D2909">
        <w:rPr>
          <w:rFonts w:ascii="Times New Roman" w:hAnsi="Times New Roman"/>
          <w:sz w:val="24"/>
        </w:rPr>
        <w:t>modern-day</w:t>
      </w:r>
      <w:r w:rsidRPr="006D2909">
        <w:rPr>
          <w:rFonts w:ascii="Times New Roman" w:hAnsi="Times New Roman"/>
          <w:sz w:val="24"/>
        </w:rPr>
        <w:t xml:space="preserve"> milestones </w:t>
      </w:r>
      <w:r w:rsidRPr="006D2909">
        <w:rPr>
          <w:rFonts w:ascii="Times New Roman" w:hAnsi="Times New Roman"/>
          <w:sz w:val="24"/>
        </w:rPr>
        <w:lastRenderedPageBreak/>
        <w:t>such as the UAE's expansion of COP27 pledge to plant 100 million mangroves by 2030 (WAM, 2022; The National, 2022), the passage of Federal Decree-Law No. 11 of 2023 ordering corporations to undertake environmental audits and carbon offsetting, and the opening of the Abu Dhabi Global Market regulated carbon exchange (Bloomberg, 2023; Reuters, 2023) occur in real-time. Including primary statutory texts and verified investigative reports from globally reputable agencies (Reuters, Bloomberg, WAM) enables the legal, economic, and industrial parameters of this research to remain firmly rooted in active statutory reality rather than resting on outdated theoretical assumptions, while at the same time adhering strictly to the Harvard Cite Them Right referencing standard.</w:t>
      </w:r>
    </w:p>
    <w:p w14:paraId="0B7771AC" w14:textId="77777777" w:rsidR="00D42293" w:rsidRDefault="00000000">
      <w:pPr>
        <w:keepNext/>
        <w:spacing w:before="280" w:after="120"/>
      </w:pPr>
      <w:r>
        <w:rPr>
          <w:rFonts w:ascii="Times New Roman" w:hAnsi="Times New Roman"/>
          <w:b/>
          <w:color w:val="005078"/>
          <w:sz w:val="26"/>
        </w:rPr>
        <w:t>2.4 Core Thematic Review</w:t>
      </w:r>
    </w:p>
    <w:p w14:paraId="0050853E" w14:textId="77777777" w:rsidR="00D42293" w:rsidRDefault="00000000">
      <w:pPr>
        <w:keepNext/>
        <w:spacing w:before="200" w:after="80"/>
      </w:pPr>
      <w:r>
        <w:rPr>
          <w:rFonts w:ascii="Times New Roman" w:hAnsi="Times New Roman"/>
          <w:b/>
          <w:i/>
          <w:color w:val="282828"/>
          <w:sz w:val="24"/>
        </w:rPr>
        <w:t>2.4.1 Remote Sensing for Mangrove Biomass Estimation</w:t>
      </w:r>
    </w:p>
    <w:p w14:paraId="2F876F9C" w14:textId="1447F20C" w:rsidR="009E679D" w:rsidRPr="009E679D" w:rsidRDefault="009E679D" w:rsidP="009E679D">
      <w:pPr>
        <w:spacing w:after="120" w:line="360" w:lineRule="exact"/>
        <w:jc w:val="both"/>
        <w:rPr>
          <w:rFonts w:ascii="Times New Roman" w:hAnsi="Times New Roman"/>
          <w:sz w:val="24"/>
          <w:lang w:val="en-IN"/>
        </w:rPr>
      </w:pPr>
      <w:r w:rsidRPr="009E679D">
        <w:rPr>
          <w:rFonts w:ascii="Times New Roman" w:hAnsi="Times New Roman"/>
          <w:sz w:val="24"/>
          <w:lang w:val="en-IN"/>
        </w:rPr>
        <w:t>Estimating mangrove biomass using remote sensing in arid coastlines presents significant radiometric difficulties. Unlike the rich tropical mangroves of Southeast Asia, mangroves in the Arabian Gulf (Avicennia marina) present a underdeveloped, dwarf phenotype, sparse canopy distributions, and hypersaline background substrates in the form of bleached sand, sabkha evaporites, and shallow tidal waters (Melo et al., 2022). Consequently, optical reflectivity in arid zones is heavily contaminated by high-reflective power background soil reflectance and standard Normalised Difference Vegetation Index (NDVI) formulae often saturate or severely underestimate biomass. Soil interference can be accounted for by more enhanced indices such as the Soil-Adjusted Vegetation Index and the Enhanced Vegetation Index.</w:t>
      </w:r>
    </w:p>
    <w:p w14:paraId="1FE89E8A" w14:textId="32DB4A3A" w:rsidR="00D42293" w:rsidRPr="009E679D" w:rsidRDefault="009E679D">
      <w:pPr>
        <w:spacing w:after="120" w:line="360" w:lineRule="exact"/>
        <w:jc w:val="both"/>
        <w:rPr>
          <w:rFonts w:ascii="Times New Roman" w:hAnsi="Times New Roman"/>
          <w:sz w:val="24"/>
          <w:lang w:val="en-IN"/>
        </w:rPr>
      </w:pPr>
      <w:r w:rsidRPr="009E679D">
        <w:rPr>
          <w:rFonts w:ascii="Times New Roman" w:hAnsi="Times New Roman"/>
          <w:sz w:val="24"/>
          <w:lang w:val="en-IN"/>
        </w:rPr>
        <w:t>Meanwhile, SAR backscatter provides an important physical complement. C-band radar interacts with forest elements comparable to its 5.6 cm wavelength which is dominated by leaves and small branches. While VV backscatter is dominated by direct surface reflection, cross-polarized VH backscatter is created through multiple volumetric scattering within the canopy (Pham et al., 2019). The cross-polarisation ratio (VV/VH) thus acts as an effective normaliser against tidal water level variations in the canopy. However, radar signals saturate at moderate-to-high biomass levels (~100-150 Mg/ha) and fusion with optical and LiDAR sensors is necessary</w:t>
      </w:r>
      <w:r>
        <w:rPr>
          <w:rFonts w:ascii="Times New Roman" w:hAnsi="Times New Roman"/>
          <w:sz w:val="24"/>
        </w:rPr>
        <w:t>.</w:t>
      </w:r>
    </w:p>
    <w:p w14:paraId="3A16E821" w14:textId="77777777" w:rsidR="00D42293" w:rsidRDefault="00000000">
      <w:pPr>
        <w:keepNext/>
        <w:spacing w:before="200" w:after="80"/>
      </w:pPr>
      <w:r>
        <w:rPr>
          <w:rFonts w:ascii="Times New Roman" w:hAnsi="Times New Roman"/>
          <w:b/>
          <w:i/>
          <w:color w:val="282828"/>
          <w:sz w:val="24"/>
        </w:rPr>
        <w:t>2.4.2 Spaceborne LiDAR and Neural Imputation</w:t>
      </w:r>
    </w:p>
    <w:p w14:paraId="17B39CC5" w14:textId="77777777" w:rsidR="009E679D" w:rsidRPr="009E679D" w:rsidRDefault="009E679D" w:rsidP="009E679D">
      <w:pPr>
        <w:spacing w:after="120" w:line="360" w:lineRule="exact"/>
        <w:jc w:val="both"/>
        <w:rPr>
          <w:rFonts w:ascii="Times New Roman" w:hAnsi="Times New Roman"/>
          <w:sz w:val="24"/>
          <w:lang w:val="en-IN"/>
        </w:rPr>
      </w:pPr>
      <w:r w:rsidRPr="009E679D">
        <w:rPr>
          <w:rFonts w:ascii="Times New Roman" w:hAnsi="Times New Roman"/>
          <w:sz w:val="24"/>
          <w:lang w:val="en-IN"/>
        </w:rPr>
        <w:t xml:space="preserve">Spaceborne LiDAR is the only means for obtaining a direct physical measurement of forest canopy heights from space. NASA's GEDI instrument records full-waveform returns, from which structural percentiles are extracted including RH100 (maximum canopy height), </w:t>
      </w:r>
      <w:r w:rsidRPr="009E679D">
        <w:rPr>
          <w:rFonts w:ascii="Times New Roman" w:hAnsi="Times New Roman"/>
          <w:sz w:val="24"/>
          <w:lang w:val="en-IN"/>
        </w:rPr>
        <w:lastRenderedPageBreak/>
        <w:t>RH98, RH92, Plant Area Index and Foliage Height Diversity (Dubayah et al., 2020). Duncanson et al (2022) developed generalised allometric models which convert GEDI structural waveforms into Above-Ground Biomass Density (AGBD). However, since GEDI is an active sampling laser and not an imaging sensor, its ground tracks are spaced about 4.2 km apart across track, resulting in sparse point coverage. In the UAE, GEDI data is exceptionally sparse, with many coastal lagoons recording zero valid laser shots over multi-year intervals.</w:t>
      </w:r>
    </w:p>
    <w:p w14:paraId="2FD8F6E8" w14:textId="4104C633" w:rsidR="00D42293" w:rsidRPr="009E679D" w:rsidRDefault="009E679D">
      <w:pPr>
        <w:spacing w:after="120" w:line="360" w:lineRule="exact"/>
        <w:jc w:val="both"/>
        <w:rPr>
          <w:rFonts w:ascii="Times New Roman" w:hAnsi="Times New Roman"/>
          <w:sz w:val="24"/>
          <w:lang w:val="en-IN"/>
        </w:rPr>
      </w:pPr>
      <w:r w:rsidRPr="009E679D">
        <w:rPr>
          <w:rFonts w:ascii="Times New Roman" w:hAnsi="Times New Roman"/>
          <w:sz w:val="24"/>
          <w:lang w:val="en-IN"/>
        </w:rPr>
        <w:t>Neural imputation methods have been explored as a remedy. Lang et al (2023) showed that with deep neural networks, complex non-linear mappings could be learned between Sentinel-2 multispectral bands and GEDI canopy height returns. However, training an imputation model requires large volumes of paired training data. In data-sparse regions such as the UAE, training a model directly on local data would result in severe overfitting. This dissertation addresses this fundamental limitation with transfer learning (Tuia et al., 2016; Rolf et al., 2021) - the neural imputation engine could be pre-trained on dense GEDI footprints in the structurally analogous, equatorial Sundarbans mangrove forest in Bangladesh, and fine-tuned on sparse UAE observations</w:t>
      </w:r>
      <w:r>
        <w:rPr>
          <w:rFonts w:ascii="Times New Roman" w:hAnsi="Times New Roman"/>
          <w:sz w:val="24"/>
        </w:rPr>
        <w:t>.</w:t>
      </w:r>
    </w:p>
    <w:p w14:paraId="3184F9A6" w14:textId="77777777" w:rsidR="00D42293" w:rsidRDefault="00000000">
      <w:pPr>
        <w:keepNext/>
        <w:spacing w:before="200" w:after="80"/>
      </w:pPr>
      <w:r>
        <w:rPr>
          <w:rFonts w:ascii="Times New Roman" w:hAnsi="Times New Roman"/>
          <w:b/>
          <w:i/>
          <w:color w:val="282828"/>
          <w:sz w:val="24"/>
        </w:rPr>
        <w:t>2.4.3 Graph Neural Networks for Environmental Modeling</w:t>
      </w:r>
    </w:p>
    <w:p w14:paraId="57F35BB5" w14:textId="77777777" w:rsidR="009E679D" w:rsidRPr="009E679D" w:rsidRDefault="009E679D" w:rsidP="009E679D">
      <w:pPr>
        <w:spacing w:after="120" w:line="360" w:lineRule="exact"/>
        <w:jc w:val="both"/>
        <w:rPr>
          <w:rFonts w:ascii="Times New Roman" w:hAnsi="Times New Roman"/>
          <w:sz w:val="24"/>
          <w:lang w:val="en-IN"/>
        </w:rPr>
      </w:pPr>
      <w:r w:rsidRPr="009E679D">
        <w:rPr>
          <w:rFonts w:ascii="Times New Roman" w:hAnsi="Times New Roman"/>
          <w:sz w:val="24"/>
          <w:lang w:val="en-IN"/>
        </w:rPr>
        <w:t>Traditional geospatial machine learning models treat geographical coordinates as independent, identically distributed (i.i.d.) points, thus violating Tobler's First Law of Geography: 'everything is related to everything else, but near things are more related than distant things.' While CNNs capture local spatial context within fixed Euclidean kernel windows, they cannot represent non-Euclidean topological connections. Graph Neural Networks (GNNs) pioneered by Kipf &amp; Welling (2017) overcome this limitation by operating over arbitrary graph structures G = (V, E) where nodes V represent spatial entities and edges E represent physical or ecological interactions.</w:t>
      </w:r>
    </w:p>
    <w:p w14:paraId="646EBDD2" w14:textId="60B3083A" w:rsidR="00D42293" w:rsidRPr="009E679D" w:rsidRDefault="009E679D">
      <w:pPr>
        <w:spacing w:after="120" w:line="360" w:lineRule="exact"/>
        <w:jc w:val="both"/>
        <w:rPr>
          <w:rFonts w:ascii="Times New Roman" w:hAnsi="Times New Roman"/>
          <w:sz w:val="24"/>
          <w:lang w:val="en-IN"/>
        </w:rPr>
      </w:pPr>
      <w:r w:rsidRPr="009E679D">
        <w:rPr>
          <w:rFonts w:ascii="Times New Roman" w:hAnsi="Times New Roman"/>
          <w:sz w:val="24"/>
          <w:lang w:val="en-IN"/>
        </w:rPr>
        <w:t>Spatio-Temporal Graph Neural Networks (ST-GNNs) extend GNNs further by fusing spatial graph convolutions with temporal sequence modeling (LSTM or GRU units) (Yu et al., 2018; Li et al., 2018). While ST-GNNs have achieved state-of-the-art performance in urban traffic forecasting and river network water quality modeling, their application to coastal blue carbon ecology remains completely unmapped in literature. In coastal ecosystems, mangrove patches do not exist in isolation - they are hydrodynamically coupled by tidal channels which transport sediment, dissolved nutrients and propagules. By structuring mangrove patches as graph nodes and tidal flow vectors as directed edges, an ST-GNN can explicitly model the transport of allochthonous carbon in the coastal network</w:t>
      </w:r>
      <w:r>
        <w:rPr>
          <w:rFonts w:ascii="Times New Roman" w:hAnsi="Times New Roman"/>
          <w:sz w:val="24"/>
        </w:rPr>
        <w:t>.</w:t>
      </w:r>
    </w:p>
    <w:p w14:paraId="07750985" w14:textId="77777777" w:rsidR="00D42293" w:rsidRDefault="00000000">
      <w:pPr>
        <w:keepNext/>
        <w:spacing w:before="200" w:after="80"/>
      </w:pPr>
      <w:r>
        <w:rPr>
          <w:rFonts w:ascii="Times New Roman" w:hAnsi="Times New Roman"/>
          <w:b/>
          <w:i/>
          <w:color w:val="282828"/>
          <w:sz w:val="24"/>
        </w:rPr>
        <w:lastRenderedPageBreak/>
        <w:t>2.4.4 Blue Carbon MRV Frameworks, International Standards, and Statutory Compliance</w:t>
      </w:r>
    </w:p>
    <w:p w14:paraId="35A5B8AB" w14:textId="5E8A99F4" w:rsidR="00C33475" w:rsidRPr="00C33475" w:rsidRDefault="00C33475" w:rsidP="00C33475">
      <w:pPr>
        <w:spacing w:after="120" w:line="360" w:lineRule="exact"/>
        <w:jc w:val="both"/>
        <w:rPr>
          <w:lang w:val="en-IN"/>
        </w:rPr>
      </w:pPr>
      <w:r w:rsidRPr="00C33475">
        <w:rPr>
          <w:rFonts w:ascii="Times New Roman" w:hAnsi="Times New Roman"/>
          <w:sz w:val="24"/>
        </w:rPr>
        <w:t>The commercial credibility of blue carbon credits is regulated by international carbon standards, primarily Verra's Verified Carbon Standard (VCS) and specially its coastal wetland method VM0033: Methodology for Tidal Wetland and Seagrass Restoration (Verra, 2022, 2023). VM0033 sets out strict accounting rules for determining net greenhouse gas reductions:</w:t>
      </w:r>
    </w:p>
    <w:p w14:paraId="6C7EE86A" w14:textId="77777777" w:rsidR="00C33475" w:rsidRDefault="00C33475">
      <w:pPr>
        <w:spacing w:after="120" w:line="360" w:lineRule="exact"/>
        <w:jc w:val="both"/>
        <w:rPr>
          <w:sz w:val="24"/>
        </w:rPr>
      </w:pPr>
    </w:p>
    <w:p w14:paraId="091406A6" w14:textId="05705910" w:rsidR="00C33475" w:rsidRPr="00C33475" w:rsidRDefault="00C33475">
      <w:pPr>
        <w:spacing w:after="120" w:line="360" w:lineRule="exact"/>
        <w:jc w:val="both"/>
      </w:pPr>
      <m:oMathPara>
        <m:oMath>
          <m:r>
            <m:rPr>
              <m:sty m:val="p"/>
            </m:rPr>
            <w:rPr>
              <w:rFonts w:ascii="Cambria Math" w:hAnsi="Cambria Math"/>
              <w:sz w:val="24"/>
            </w:rPr>
            <m:t xml:space="preserve">Net GHG Removals=Carbon Stock Change </m:t>
          </m:r>
          <m:d>
            <m:dPr>
              <m:ctrlPr>
                <w:rPr>
                  <w:rFonts w:ascii="Cambria Math" w:hAnsi="Cambria Math"/>
                  <w:sz w:val="24"/>
                </w:rPr>
              </m:ctrlPr>
            </m:dPr>
            <m:e>
              <m:r>
                <m:rPr>
                  <m:sty m:val="p"/>
                </m:rPr>
                <w:rPr>
                  <w:rFonts w:ascii="Cambria Math" w:hAnsi="Cambria Math"/>
                  <w:sz w:val="24"/>
                </w:rPr>
                <m:t>Project</m:t>
              </m:r>
            </m:e>
          </m:d>
          <m:r>
            <m:rPr>
              <m:sty m:val="p"/>
            </m:rPr>
            <w:rPr>
              <w:rFonts w:ascii="Cambria Math" w:hAnsi="Cambria Math"/>
              <w:sz w:val="24"/>
            </w:rPr>
            <m:t>- Baseline Emissions - Leakage - Allochthonous Inflow Deduction</m:t>
          </m:r>
        </m:oMath>
      </m:oMathPara>
    </w:p>
    <w:p w14:paraId="382A7075" w14:textId="77777777" w:rsidR="00C33475" w:rsidRDefault="00C33475">
      <w:pPr>
        <w:spacing w:after="120" w:line="360" w:lineRule="exact"/>
        <w:jc w:val="both"/>
      </w:pPr>
    </w:p>
    <w:p w14:paraId="666381C5" w14:textId="77777777" w:rsidR="00C33475" w:rsidRPr="00C33475" w:rsidRDefault="00C33475" w:rsidP="00C33475">
      <w:pPr>
        <w:spacing w:after="120" w:line="360" w:lineRule="exact"/>
        <w:jc w:val="both"/>
        <w:rPr>
          <w:rFonts w:ascii="Times New Roman" w:hAnsi="Times New Roman"/>
          <w:sz w:val="24"/>
          <w:lang w:val="en-IN"/>
        </w:rPr>
      </w:pPr>
      <w:r w:rsidRPr="00C33475">
        <w:rPr>
          <w:rFonts w:ascii="Times New Roman" w:hAnsi="Times New Roman"/>
          <w:sz w:val="24"/>
          <w:lang w:val="en-IN"/>
        </w:rPr>
        <w:t>The deduction of allochthonous carbon is the most contentious operational hurdle in voluntary carbon markets. Verra guidelines require that if sediment organic carbon is deposited from external marine sources, it cannot be accredited as project additionality unless the project developer can demonstrate mathematically that the carbon was newly sequestered as a direct result of the restoration activity. Conventional manual MRV systems cannot provide continuous spatial verification and auditors have been forced to enforce punitive risk discount buffers (withholding 20-30% total credits in conservative buffer pools) (Zeng et al., 2021). An automated, digital MRV architecture which models tidal transport directly from satellite telemetry provides the necessary empirical evidence to minimise regulatory discounting.</w:t>
      </w:r>
    </w:p>
    <w:p w14:paraId="4D21227C" w14:textId="2AE90A06" w:rsidR="00D42293" w:rsidRPr="00C33475" w:rsidRDefault="00C33475">
      <w:pPr>
        <w:spacing w:after="120" w:line="360" w:lineRule="exact"/>
        <w:jc w:val="both"/>
        <w:rPr>
          <w:rFonts w:ascii="Times New Roman" w:hAnsi="Times New Roman"/>
          <w:sz w:val="24"/>
          <w:lang w:val="en-IN"/>
        </w:rPr>
      </w:pPr>
      <w:r w:rsidRPr="00C33475">
        <w:rPr>
          <w:rFonts w:ascii="Times New Roman" w:hAnsi="Times New Roman"/>
          <w:sz w:val="24"/>
          <w:lang w:val="en-IN"/>
        </w:rPr>
        <w:t>Crucially, this international certification requirement intersects directly with a sovereign legal mandate. Under the UAE's Federal Decree-Law No. 11 of 2023 on the Protection and Development of the Environment (UAE Government, 2023), major industrial facilities and infrastructure developers are statutorily required to mitigate atmospheric pollution and perform periodic environmental impact audits. Furthermore, the UAE Climate-Responsible Companies Pledge launched by MOCCAE (2022) obliges participating industrial corporations (spanning metals, energy and transportation) to measure carbon emissions and compensate for residual footprints by trading verified offset instruments on regulated venues such as ADGM (2022) and DFM (Reuters, 2023; Bloomberg, 2023). If corporations purchase offsets which lack mathematical additionality or verified permanence, they risk severe regulatory liability and reputational damage. High-integrity digital MRV thus provides the indispensable evidentiary backbone linking national environmental law and international carbon finance</w:t>
      </w:r>
      <w:r>
        <w:rPr>
          <w:rFonts w:ascii="Times New Roman" w:hAnsi="Times New Roman"/>
          <w:sz w:val="24"/>
          <w:lang w:val="en-IN"/>
        </w:rPr>
        <w:t>.</w:t>
      </w:r>
    </w:p>
    <w:p w14:paraId="0B34DC98" w14:textId="77777777" w:rsidR="00D42293" w:rsidRDefault="00000000">
      <w:pPr>
        <w:keepNext/>
        <w:spacing w:before="200" w:after="80"/>
      </w:pPr>
      <w:r>
        <w:rPr>
          <w:rFonts w:ascii="Times New Roman" w:hAnsi="Times New Roman"/>
          <w:b/>
          <w:i/>
          <w:color w:val="282828"/>
          <w:sz w:val="24"/>
        </w:rPr>
        <w:lastRenderedPageBreak/>
        <w:t>2.4.5 Explainable AI (XAI) for Regulatory Auditability</w:t>
      </w:r>
    </w:p>
    <w:p w14:paraId="0529A9E9" w14:textId="5A0F1ED0" w:rsidR="002A6258" w:rsidRPr="002A6258" w:rsidRDefault="002A6258" w:rsidP="002A6258">
      <w:pPr>
        <w:spacing w:after="120" w:line="360" w:lineRule="exact"/>
        <w:jc w:val="both"/>
        <w:rPr>
          <w:rFonts w:ascii="Times New Roman" w:hAnsi="Times New Roman"/>
          <w:sz w:val="24"/>
        </w:rPr>
      </w:pPr>
      <w:r w:rsidRPr="002A6258">
        <w:rPr>
          <w:rFonts w:ascii="Times New Roman" w:hAnsi="Times New Roman"/>
          <w:sz w:val="24"/>
        </w:rPr>
        <w:t>In carbon compliance auditing, predictive accuracy is not sufficient - algorithms must be transparent and auditable. Black-box deep learning models which produce carbon figures without causal attribution are routinely rejected by carbon market verifiers. Explainable AI (XAI) has emerged as a critical regulatory requirement (Molnar, 2020; Roscher et al., 2020). Lundberg &amp; Lee (2017) established SHAP (SHapley Additive exPlanations) which uses a game-theoretic approach to compute Shapley values for allocating the contribution of each input feature to the model's final prediction.</w:t>
      </w:r>
    </w:p>
    <w:p w14:paraId="3549A75A" w14:textId="76DBBCD1" w:rsidR="00D42293" w:rsidRPr="002A6258" w:rsidRDefault="002A6258">
      <w:pPr>
        <w:spacing w:after="120" w:line="360" w:lineRule="exact"/>
        <w:jc w:val="both"/>
        <w:rPr>
          <w:rFonts w:ascii="Times New Roman" w:hAnsi="Times New Roman"/>
          <w:sz w:val="24"/>
        </w:rPr>
      </w:pPr>
      <w:r w:rsidRPr="002A6258">
        <w:rPr>
          <w:rFonts w:ascii="Times New Roman" w:hAnsi="Times New Roman"/>
          <w:sz w:val="24"/>
        </w:rPr>
        <w:t>In the context of MCIP, SHAP values quantify whether a sudden drop in a patch's carbon sequestration was driven by SAR moisture loss, NDVI vegetation browning or anomalous heat stress. However, as shown by Slack et al (2020), post-hoc explanations can be fragile if disconnected from real-world environmental context. To bridge this gap, this dissertation couples SHAP feature attributions with Large Language Model (LLM) orchestration via Google Genkit and Gemini 2.5 Flash, cross-referencing mathematical SHAP vectors with historical weather records to generate independently verifiable, human-readable audit trails.</w:t>
      </w:r>
    </w:p>
    <w:p w14:paraId="65A5E55C" w14:textId="77777777" w:rsidR="00D42293" w:rsidRDefault="00000000">
      <w:pPr>
        <w:keepNext/>
        <w:spacing w:before="280" w:after="120"/>
      </w:pPr>
      <w:r>
        <w:rPr>
          <w:rFonts w:ascii="Times New Roman" w:hAnsi="Times New Roman"/>
          <w:b/>
          <w:color w:val="005078"/>
          <w:sz w:val="26"/>
        </w:rPr>
        <w:t>2.5 Synthesis, Critical Gap Analysis, and Chapter Summary</w:t>
      </w:r>
    </w:p>
    <w:p w14:paraId="285CE712" w14:textId="21EF74C1" w:rsidR="00D42293" w:rsidRDefault="002A6258">
      <w:pPr>
        <w:spacing w:after="120" w:line="360" w:lineRule="exact"/>
        <w:jc w:val="both"/>
      </w:pPr>
      <w:r w:rsidRPr="002A6258">
        <w:rPr>
          <w:rFonts w:ascii="Times New Roman" w:hAnsi="Times New Roman"/>
          <w:sz w:val="24"/>
        </w:rPr>
        <w:t>A full synthesis of the literature highlights three fundamental interrelated gaps in the state of the art (Table 2.3)</w:t>
      </w:r>
    </w:p>
    <w:p w14:paraId="0F195F8E" w14:textId="77777777" w:rsidR="00D42293" w:rsidRDefault="00000000">
      <w:pPr>
        <w:spacing w:before="200" w:after="80"/>
      </w:pPr>
      <w:r>
        <w:rPr>
          <w:rFonts w:ascii="Times New Roman" w:hAnsi="Times New Roman"/>
          <w:b/>
          <w:color w:val="1E1E1E"/>
        </w:rPr>
        <w:t>Table 2.3: Comprehensive Literature Gap Analysis Mapped to MCIP Methodological Innovations.</w:t>
      </w:r>
    </w:p>
    <w:tbl>
      <w:tblPr>
        <w:tblStyle w:val="TableGrid"/>
        <w:tblW w:w="0" w:type="auto"/>
        <w:jc w:val="center"/>
        <w:tblLook w:val="04A0" w:firstRow="1" w:lastRow="0" w:firstColumn="1" w:lastColumn="0" w:noHBand="0" w:noVBand="1"/>
      </w:tblPr>
      <w:tblGrid>
        <w:gridCol w:w="1993"/>
        <w:gridCol w:w="2823"/>
        <w:gridCol w:w="3110"/>
        <w:gridCol w:w="1290"/>
      </w:tblGrid>
      <w:tr w:rsidR="00D42293" w14:paraId="6187594C" w14:textId="77777777">
        <w:trPr>
          <w:jc w:val="center"/>
        </w:trPr>
        <w:tc>
          <w:tcPr>
            <w:tcW w:w="2016" w:type="dxa"/>
            <w:shd w:val="clear" w:color="auto" w:fill="E6ECF2"/>
          </w:tcPr>
          <w:p w14:paraId="5B737F09" w14:textId="77777777" w:rsidR="00D42293" w:rsidRDefault="00000000">
            <w:pPr>
              <w:jc w:val="center"/>
            </w:pPr>
            <w:r>
              <w:rPr>
                <w:rFonts w:ascii="Times New Roman" w:hAnsi="Times New Roman"/>
                <w:b/>
                <w:color w:val="003366"/>
                <w:sz w:val="20"/>
              </w:rPr>
              <w:t>Literature Gap</w:t>
            </w:r>
          </w:p>
        </w:tc>
        <w:tc>
          <w:tcPr>
            <w:tcW w:w="2880" w:type="dxa"/>
            <w:shd w:val="clear" w:color="auto" w:fill="E6ECF2"/>
          </w:tcPr>
          <w:p w14:paraId="78DD5BCD" w14:textId="77777777" w:rsidR="00D42293" w:rsidRDefault="00000000">
            <w:pPr>
              <w:jc w:val="center"/>
            </w:pPr>
            <w:r>
              <w:rPr>
                <w:rFonts w:ascii="Times New Roman" w:hAnsi="Times New Roman"/>
                <w:b/>
                <w:color w:val="003366"/>
                <w:sz w:val="20"/>
              </w:rPr>
              <w:t>Current State of the Art Limitations</w:t>
            </w:r>
          </w:p>
        </w:tc>
        <w:tc>
          <w:tcPr>
            <w:tcW w:w="3168" w:type="dxa"/>
            <w:shd w:val="clear" w:color="auto" w:fill="E6ECF2"/>
          </w:tcPr>
          <w:p w14:paraId="5F17B803" w14:textId="77777777" w:rsidR="00D42293" w:rsidRDefault="00000000">
            <w:pPr>
              <w:jc w:val="center"/>
            </w:pPr>
            <w:r>
              <w:rPr>
                <w:rFonts w:ascii="Times New Roman" w:hAnsi="Times New Roman"/>
                <w:b/>
                <w:color w:val="003366"/>
                <w:sz w:val="20"/>
              </w:rPr>
              <w:t>MCIP Methodological Solution</w:t>
            </w:r>
          </w:p>
        </w:tc>
        <w:tc>
          <w:tcPr>
            <w:tcW w:w="1296" w:type="dxa"/>
            <w:shd w:val="clear" w:color="auto" w:fill="E6ECF2"/>
          </w:tcPr>
          <w:p w14:paraId="2BFB44B3" w14:textId="77777777" w:rsidR="00D42293" w:rsidRDefault="00000000">
            <w:pPr>
              <w:jc w:val="center"/>
            </w:pPr>
            <w:r>
              <w:rPr>
                <w:rFonts w:ascii="Times New Roman" w:hAnsi="Times New Roman"/>
                <w:b/>
                <w:color w:val="003366"/>
                <w:sz w:val="20"/>
              </w:rPr>
              <w:t>Addressed Objective</w:t>
            </w:r>
          </w:p>
        </w:tc>
      </w:tr>
      <w:tr w:rsidR="00D42293" w14:paraId="376224ED" w14:textId="77777777">
        <w:trPr>
          <w:jc w:val="center"/>
        </w:trPr>
        <w:tc>
          <w:tcPr>
            <w:tcW w:w="2016" w:type="dxa"/>
          </w:tcPr>
          <w:p w14:paraId="2079A362" w14:textId="77777777" w:rsidR="00D42293" w:rsidRDefault="00000000">
            <w:r>
              <w:rPr>
                <w:rFonts w:ascii="Times New Roman" w:hAnsi="Times New Roman"/>
                <w:sz w:val="20"/>
              </w:rPr>
              <w:t>Gap 1: 3D LiDAR Data Sparsity in Arid Mangroves</w:t>
            </w:r>
          </w:p>
        </w:tc>
        <w:tc>
          <w:tcPr>
            <w:tcW w:w="2880" w:type="dxa"/>
          </w:tcPr>
          <w:p w14:paraId="757DBA38" w14:textId="77777777" w:rsidR="00D42293" w:rsidRDefault="00000000">
            <w:r>
              <w:rPr>
                <w:rFonts w:ascii="Times New Roman" w:hAnsi="Times New Roman"/>
                <w:sz w:val="20"/>
              </w:rPr>
              <w:t>NASA GEDI orbital tracks leave massive multi-year data gaps across subtropical arid coastlines; models rely on 2D optical proxies.</w:t>
            </w:r>
          </w:p>
        </w:tc>
        <w:tc>
          <w:tcPr>
            <w:tcW w:w="3168" w:type="dxa"/>
          </w:tcPr>
          <w:p w14:paraId="735DEB74" w14:textId="77777777" w:rsidR="00D42293" w:rsidRDefault="00000000">
            <w:r>
              <w:rPr>
                <w:rFonts w:ascii="Times New Roman" w:hAnsi="Times New Roman"/>
                <w:sz w:val="20"/>
              </w:rPr>
              <w:t>Transfer-learned deep neural imputation pre-trained on dense Sundarbans GEDI data, predicting 8 structural canopy metrics from Sentinel features.</w:t>
            </w:r>
          </w:p>
        </w:tc>
        <w:tc>
          <w:tcPr>
            <w:tcW w:w="1296" w:type="dxa"/>
          </w:tcPr>
          <w:p w14:paraId="751EBDBE" w14:textId="77777777" w:rsidR="00D42293" w:rsidRDefault="00000000">
            <w:pPr>
              <w:jc w:val="center"/>
            </w:pPr>
            <w:r>
              <w:rPr>
                <w:rFonts w:ascii="Times New Roman" w:hAnsi="Times New Roman"/>
                <w:sz w:val="20"/>
              </w:rPr>
              <w:t>Objective O2</w:t>
            </w:r>
          </w:p>
        </w:tc>
      </w:tr>
      <w:tr w:rsidR="00D42293" w14:paraId="66C95C92" w14:textId="77777777">
        <w:trPr>
          <w:jc w:val="center"/>
        </w:trPr>
        <w:tc>
          <w:tcPr>
            <w:tcW w:w="2016" w:type="dxa"/>
          </w:tcPr>
          <w:p w14:paraId="4B2F5829" w14:textId="77777777" w:rsidR="00D42293" w:rsidRDefault="00000000">
            <w:r>
              <w:rPr>
                <w:rFonts w:ascii="Times New Roman" w:hAnsi="Times New Roman"/>
                <w:sz w:val="20"/>
              </w:rPr>
              <w:t>Gap 2: Inability to Attribute Allochthonous Tidal Flux</w:t>
            </w:r>
          </w:p>
        </w:tc>
        <w:tc>
          <w:tcPr>
            <w:tcW w:w="2880" w:type="dxa"/>
          </w:tcPr>
          <w:p w14:paraId="72560258" w14:textId="77777777" w:rsidR="00D42293" w:rsidRDefault="00000000">
            <w:r>
              <w:rPr>
                <w:rFonts w:ascii="Times New Roman" w:hAnsi="Times New Roman"/>
                <w:sz w:val="20"/>
              </w:rPr>
              <w:t>Existing remote sensing models treat pixels as independent grids (CNNs), failing to model tidal sediment and carbon transport between patches.</w:t>
            </w:r>
          </w:p>
        </w:tc>
        <w:tc>
          <w:tcPr>
            <w:tcW w:w="3168" w:type="dxa"/>
          </w:tcPr>
          <w:p w14:paraId="68A4E7EC" w14:textId="77777777" w:rsidR="00D42293" w:rsidRDefault="00000000">
            <w:r>
              <w:rPr>
                <w:rFonts w:ascii="Times New Roman" w:hAnsi="Times New Roman"/>
                <w:sz w:val="20"/>
              </w:rPr>
              <w:t>Directed Spatio-Temporal Graph Neural Network (ST-GNN) encoding hydrodynamic flow vectors and tidal connectivity as graph edges.</w:t>
            </w:r>
          </w:p>
        </w:tc>
        <w:tc>
          <w:tcPr>
            <w:tcW w:w="1296" w:type="dxa"/>
          </w:tcPr>
          <w:p w14:paraId="19622F9D" w14:textId="77777777" w:rsidR="00D42293" w:rsidRDefault="00000000">
            <w:r>
              <w:rPr>
                <w:rFonts w:ascii="Times New Roman" w:hAnsi="Times New Roman"/>
                <w:sz w:val="20"/>
              </w:rPr>
              <w:t>Objectives O3, O4</w:t>
            </w:r>
          </w:p>
        </w:tc>
      </w:tr>
      <w:tr w:rsidR="00D42293" w14:paraId="24F9737B" w14:textId="77777777">
        <w:trPr>
          <w:jc w:val="center"/>
        </w:trPr>
        <w:tc>
          <w:tcPr>
            <w:tcW w:w="2016" w:type="dxa"/>
          </w:tcPr>
          <w:p w14:paraId="55F13244" w14:textId="77777777" w:rsidR="00D42293" w:rsidRDefault="00000000">
            <w:r>
              <w:rPr>
                <w:rFonts w:ascii="Times New Roman" w:hAnsi="Times New Roman"/>
                <w:sz w:val="20"/>
              </w:rPr>
              <w:t>Gap 3: Lack of Transparent, Auditor-Ready Explainability</w:t>
            </w:r>
          </w:p>
        </w:tc>
        <w:tc>
          <w:tcPr>
            <w:tcW w:w="2880" w:type="dxa"/>
          </w:tcPr>
          <w:p w14:paraId="212243C1" w14:textId="77777777" w:rsidR="00D42293" w:rsidRDefault="00000000">
            <w:r>
              <w:rPr>
                <w:rFonts w:ascii="Times New Roman" w:hAnsi="Times New Roman"/>
                <w:sz w:val="20"/>
              </w:rPr>
              <w:t>Complex deep learning models operate as unverifiable black boxes, failing Verra VM0033 Additionality and Permanence audit standards.</w:t>
            </w:r>
          </w:p>
        </w:tc>
        <w:tc>
          <w:tcPr>
            <w:tcW w:w="3168" w:type="dxa"/>
          </w:tcPr>
          <w:p w14:paraId="3A8E0FEA" w14:textId="77777777" w:rsidR="00D42293" w:rsidRDefault="00000000">
            <w:r>
              <w:rPr>
                <w:rFonts w:ascii="Times New Roman" w:hAnsi="Times New Roman"/>
                <w:sz w:val="20"/>
              </w:rPr>
              <w:t>Coupled SHAP and Google Genkit Gemini 2.5 Flash XAI auditing suite translating graph embeddings into causal audit dossiers.</w:t>
            </w:r>
          </w:p>
        </w:tc>
        <w:tc>
          <w:tcPr>
            <w:tcW w:w="1296" w:type="dxa"/>
          </w:tcPr>
          <w:p w14:paraId="770564D0" w14:textId="77777777" w:rsidR="00D42293" w:rsidRDefault="00000000">
            <w:pPr>
              <w:jc w:val="center"/>
            </w:pPr>
            <w:r>
              <w:rPr>
                <w:rFonts w:ascii="Times New Roman" w:hAnsi="Times New Roman"/>
                <w:sz w:val="20"/>
              </w:rPr>
              <w:t>Objective O5</w:t>
            </w:r>
          </w:p>
        </w:tc>
      </w:tr>
    </w:tbl>
    <w:p w14:paraId="10CFE92A" w14:textId="77777777" w:rsidR="00D42293" w:rsidRDefault="00D42293">
      <w:pPr>
        <w:spacing w:before="40" w:after="120"/>
      </w:pPr>
    </w:p>
    <w:p w14:paraId="0068171B" w14:textId="66958B0B" w:rsidR="002A6258" w:rsidRPr="002A6258" w:rsidRDefault="002A6258" w:rsidP="002A6258">
      <w:pPr>
        <w:spacing w:after="120" w:line="360" w:lineRule="exact"/>
        <w:jc w:val="both"/>
        <w:rPr>
          <w:lang w:val="en-IN"/>
        </w:rPr>
      </w:pPr>
      <w:r w:rsidRPr="002A6258">
        <w:rPr>
          <w:rFonts w:ascii="Times New Roman" w:hAnsi="Times New Roman"/>
          <w:sz w:val="24"/>
        </w:rPr>
        <w:lastRenderedPageBreak/>
        <w:t>In conclusion, while individual elements of this work (Sentinel satellites, GEDI LiDAR, GNNs, and XAI) have seen substantial innovation in their respective fields, no prior work has united these elements into an auditor-compliant end-to-end blue carbon MRV platform for arid coastal environments. The following chapter describes the methodology and engineering solutions developed to address these three literature gaps.</w:t>
      </w:r>
    </w:p>
    <w:p w14:paraId="13309B92" w14:textId="344B0E86" w:rsidR="00D42293" w:rsidRDefault="00D42293">
      <w:pPr>
        <w:spacing w:after="120" w:line="360" w:lineRule="exact"/>
        <w:jc w:val="both"/>
      </w:pPr>
    </w:p>
    <w:p w14:paraId="4ACCE311" w14:textId="77777777" w:rsidR="00D42293" w:rsidRDefault="00000000">
      <w:r>
        <w:br w:type="page"/>
      </w:r>
    </w:p>
    <w:p w14:paraId="312FD167" w14:textId="77777777" w:rsidR="00D42293" w:rsidRDefault="00000000">
      <w:pPr>
        <w:keepNext/>
        <w:spacing w:before="360" w:after="240"/>
      </w:pPr>
      <w:r>
        <w:rPr>
          <w:rFonts w:ascii="Times New Roman" w:hAnsi="Times New Roman"/>
          <w:b/>
          <w:color w:val="003366"/>
          <w:sz w:val="32"/>
        </w:rPr>
        <w:lastRenderedPageBreak/>
        <w:t>Chapter 3: Research Methodology and Engineering Design</w:t>
      </w:r>
    </w:p>
    <w:p w14:paraId="1281282C" w14:textId="77777777" w:rsidR="00D42293" w:rsidRDefault="00000000">
      <w:pPr>
        <w:keepNext/>
        <w:spacing w:before="280" w:after="120"/>
      </w:pPr>
      <w:r>
        <w:rPr>
          <w:rFonts w:ascii="Times New Roman" w:hAnsi="Times New Roman"/>
          <w:b/>
          <w:color w:val="005078"/>
          <w:sz w:val="26"/>
        </w:rPr>
        <w:t>3.1 Research Philosophy and Design Science Research Paradigm</w:t>
      </w:r>
    </w:p>
    <w:p w14:paraId="62F0D1E5" w14:textId="455A400A" w:rsidR="005D3C8F" w:rsidRPr="005D3C8F" w:rsidRDefault="005D3C8F" w:rsidP="005D3C8F">
      <w:pPr>
        <w:spacing w:after="120" w:line="360" w:lineRule="exact"/>
        <w:jc w:val="both"/>
        <w:rPr>
          <w:rFonts w:ascii="Times New Roman" w:hAnsi="Times New Roman"/>
          <w:sz w:val="24"/>
          <w:lang w:val="en-IN"/>
        </w:rPr>
      </w:pPr>
      <w:r w:rsidRPr="005D3C8F">
        <w:rPr>
          <w:rFonts w:ascii="Times New Roman" w:hAnsi="Times New Roman"/>
          <w:sz w:val="24"/>
          <w:lang w:val="en-IN"/>
        </w:rPr>
        <w:t>This chapter explains the research ontology and epistemology shaping the development of Mangrove Carbon Intelligence Platform (MCIP). This thesis follows a post-positivist practicality paradigm that embraces objectivity in the ontological domain while acknowledging the limitations of remote sensing measurements. In the ontological domain, I obey to the objectivist perspective because carbon production in coastal mangrove ecosystems is an objective reality that exists independently of the researcher’s influence. However, the epistemology of this research recognizes that orbital satellite sensors cannot make direct measurements of carbon atoms in situ. Instead, researchers use orbital backscatter reflectance, multispectral chlorophyll absorption, and photon laser altimetry to estimate carbon stocks indirectly. A post-positivist pragmatism paradigm embraces the possibility that predictive models can capture an approximation of physical reality through ablation testing, multi-sensor triangulation, and error budget quantification.</w:t>
      </w:r>
    </w:p>
    <w:p w14:paraId="0BDF1D41" w14:textId="160EBEAA" w:rsidR="00D42293" w:rsidRPr="005D3C8F" w:rsidRDefault="005D3C8F">
      <w:pPr>
        <w:spacing w:after="120" w:line="360" w:lineRule="exact"/>
        <w:jc w:val="both"/>
        <w:rPr>
          <w:rFonts w:ascii="Times New Roman" w:hAnsi="Times New Roman"/>
          <w:sz w:val="24"/>
          <w:lang w:val="en-IN"/>
        </w:rPr>
      </w:pPr>
      <w:r w:rsidRPr="005D3C8F">
        <w:rPr>
          <w:rFonts w:ascii="Times New Roman" w:hAnsi="Times New Roman"/>
          <w:sz w:val="24"/>
          <w:lang w:val="en-IN"/>
        </w:rPr>
        <w:t>To operationalize a post-positivist pragmatism paradigm, this thesis uses Design Science Research (DSR) methodology proposed by Hevner et al. (2004). DSR methodology offers a formalism for prototyping novel information systems that address critical real-world problems. The following six stages were used to develop the MCIP</w:t>
      </w:r>
      <w:r>
        <w:rPr>
          <w:rFonts w:ascii="Times New Roman" w:hAnsi="Times New Roman"/>
          <w:sz w:val="24"/>
        </w:rPr>
        <w:t>:</w:t>
      </w:r>
    </w:p>
    <w:p w14:paraId="0971F4D9" w14:textId="3E1A282D" w:rsidR="00D42293" w:rsidRDefault="00000000">
      <w:pPr>
        <w:pStyle w:val="ListBullet"/>
        <w:spacing w:before="40" w:after="60" w:line="360" w:lineRule="exact"/>
        <w:ind w:left="576"/>
      </w:pPr>
      <w:r>
        <w:rPr>
          <w:rFonts w:ascii="Times New Roman" w:hAnsi="Times New Roman"/>
          <w:b/>
          <w:sz w:val="24"/>
        </w:rPr>
        <w:t xml:space="preserve">1. Problem Identification: </w:t>
      </w:r>
      <w:r w:rsidR="005D3C8F" w:rsidRPr="005D3C8F">
        <w:rPr>
          <w:rFonts w:ascii="Times New Roman" w:hAnsi="Times New Roman"/>
          <w:sz w:val="24"/>
        </w:rPr>
        <w:t>The research problem of multi-source carbon monitoring in coastal mangrove ecosystems defined by: (i) high isotopic auditing costs ($150,000 – $350,000 per audit); (ii) long lab audit durations (6 – 18 months); (iii) intrusive coring; and (iv) inability to differentiate allochthonous and autochthonous carbon pools computationally.</w:t>
      </w:r>
    </w:p>
    <w:p w14:paraId="73CADF14" w14:textId="5064E21A" w:rsidR="00D42293" w:rsidRDefault="00000000">
      <w:pPr>
        <w:pStyle w:val="ListBullet"/>
        <w:spacing w:before="40" w:after="60" w:line="360" w:lineRule="exact"/>
        <w:ind w:left="576"/>
      </w:pPr>
      <w:r>
        <w:rPr>
          <w:rFonts w:ascii="Times New Roman" w:hAnsi="Times New Roman"/>
          <w:b/>
          <w:sz w:val="24"/>
        </w:rPr>
        <w:t xml:space="preserve">2. Objectives of a Solution: </w:t>
      </w:r>
      <w:r w:rsidR="005D3C8F" w:rsidRPr="005D3C8F">
        <w:rPr>
          <w:rFonts w:ascii="Times New Roman" w:hAnsi="Times New Roman"/>
          <w:sz w:val="24"/>
        </w:rPr>
        <w:t>The major goal was to design an MRV digital twin containing multi-sensor satellite telemetry, transfer learning models, and spatio-temporal graph networks to enable continuous auditing at &lt;10 m resolution.</w:t>
      </w:r>
    </w:p>
    <w:p w14:paraId="48DCEF96" w14:textId="580E29CD" w:rsidR="00D42293" w:rsidRDefault="00000000">
      <w:pPr>
        <w:pStyle w:val="ListBullet"/>
        <w:spacing w:before="40" w:after="60" w:line="360" w:lineRule="exact"/>
        <w:ind w:left="576"/>
      </w:pPr>
      <w:r>
        <w:rPr>
          <w:rFonts w:ascii="Times New Roman" w:hAnsi="Times New Roman"/>
          <w:b/>
          <w:sz w:val="24"/>
        </w:rPr>
        <w:t xml:space="preserve">3. Design and Development: </w:t>
      </w:r>
      <w:r w:rsidR="005D3C8F" w:rsidRPr="005D3C8F">
        <w:rPr>
          <w:rFonts w:ascii="Times New Roman" w:hAnsi="Times New Roman"/>
          <w:sz w:val="24"/>
        </w:rPr>
        <w:t>This phase consisted of developing a multi-stage processing pipeline including: Stage 0 – data ingestion and cloud masking; Stage 1 – pixel classification using fully connected neural networks; Stage 2 – NASA GEDI neural imputation; Stage 3 – topological graph encoding and graph neural networks; and Stage 4 – full-stack Next.js 15 enterprise application development.</w:t>
      </w:r>
    </w:p>
    <w:p w14:paraId="5EE027EE" w14:textId="60904E32" w:rsidR="00D42293" w:rsidRDefault="00000000">
      <w:pPr>
        <w:pStyle w:val="ListBullet"/>
        <w:spacing w:before="40" w:after="60" w:line="360" w:lineRule="exact"/>
        <w:ind w:left="576"/>
      </w:pPr>
      <w:r>
        <w:rPr>
          <w:rFonts w:ascii="Times New Roman" w:hAnsi="Times New Roman"/>
          <w:b/>
          <w:sz w:val="24"/>
        </w:rPr>
        <w:t xml:space="preserve">4. Demonstration: </w:t>
      </w:r>
      <w:r w:rsidR="005D3C8F" w:rsidRPr="005D3C8F">
        <w:rPr>
          <w:rFonts w:ascii="Times New Roman" w:hAnsi="Times New Roman"/>
          <w:sz w:val="24"/>
        </w:rPr>
        <w:t>The MCIP was demonstrated using 68 consecutive months of satellite imagery for 3,230 UAE coastal mangrove coordinates from January 2021 to May 2026.</w:t>
      </w:r>
    </w:p>
    <w:p w14:paraId="5868B884" w14:textId="40ACDB8A" w:rsidR="00D42293" w:rsidRDefault="00000000">
      <w:pPr>
        <w:pStyle w:val="ListBullet"/>
        <w:spacing w:before="40" w:after="60" w:line="360" w:lineRule="exact"/>
        <w:ind w:left="576"/>
      </w:pPr>
      <w:r>
        <w:rPr>
          <w:rFonts w:ascii="Times New Roman" w:hAnsi="Times New Roman"/>
          <w:b/>
          <w:sz w:val="24"/>
        </w:rPr>
        <w:lastRenderedPageBreak/>
        <w:t xml:space="preserve">5. Evaluation: </w:t>
      </w:r>
      <w:r w:rsidR="005D3C8F">
        <w:rPr>
          <w:rFonts w:ascii="Times New Roman" w:hAnsi="Times New Roman"/>
          <w:sz w:val="24"/>
        </w:rPr>
        <w:t>T</w:t>
      </w:r>
      <w:r w:rsidR="005D3C8F" w:rsidRPr="005D3C8F">
        <w:rPr>
          <w:rFonts w:ascii="Times New Roman" w:hAnsi="Times New Roman"/>
          <w:sz w:val="24"/>
        </w:rPr>
        <w:t>he performance of the deep learning models was benchmarked against random forests, LSTM networks, and Vanilla GCNs using standard regression metrics (RMSE, MAE, R 2 , and NSE). In addition, the auditing process was evaluated against Verra VM0033 standards.</w:t>
      </w:r>
    </w:p>
    <w:p w14:paraId="447B7EBD" w14:textId="7A799B42" w:rsidR="00D42293" w:rsidRDefault="00000000">
      <w:pPr>
        <w:pStyle w:val="ListBullet"/>
        <w:spacing w:before="40" w:after="60" w:line="360" w:lineRule="exact"/>
        <w:ind w:left="576"/>
      </w:pPr>
      <w:r>
        <w:rPr>
          <w:rFonts w:ascii="Times New Roman" w:hAnsi="Times New Roman"/>
          <w:b/>
          <w:sz w:val="24"/>
        </w:rPr>
        <w:t xml:space="preserve">6. Communication: </w:t>
      </w:r>
      <w:r w:rsidR="005D3C8F" w:rsidRPr="005D3C8F">
        <w:rPr>
          <w:rFonts w:ascii="Times New Roman" w:hAnsi="Times New Roman"/>
          <w:sz w:val="24"/>
        </w:rPr>
        <w:t>This thesis communicates the research findings through this report, open-source software repositories, and the launch of the Coastal Sentinel enterprise SaaS platform.</w:t>
      </w:r>
    </w:p>
    <w:p w14:paraId="50B9E9E2" w14:textId="77777777" w:rsidR="00D42293" w:rsidRDefault="00000000">
      <w:pPr>
        <w:keepNext/>
        <w:spacing w:before="280" w:after="120"/>
      </w:pPr>
      <w:r>
        <w:rPr>
          <w:rFonts w:ascii="Times New Roman" w:hAnsi="Times New Roman"/>
          <w:b/>
          <w:color w:val="005078"/>
          <w:sz w:val="26"/>
        </w:rPr>
        <w:t>3.2 Multi-Source Satellite Telemetry and Ingestion Architecture</w:t>
      </w:r>
    </w:p>
    <w:p w14:paraId="074E590C" w14:textId="4C64CD0F" w:rsidR="00D42293" w:rsidRDefault="005D3C8F">
      <w:pPr>
        <w:spacing w:after="120" w:line="360" w:lineRule="exact"/>
        <w:jc w:val="both"/>
      </w:pPr>
      <w:r w:rsidRPr="005D3C8F">
        <w:rPr>
          <w:rFonts w:ascii="Times New Roman" w:hAnsi="Times New Roman"/>
          <w:sz w:val="24"/>
        </w:rPr>
        <w:t>The MCIP is based on a multi-sensor fusion principle because coastal mangrove monitoring cannot rely on a single satellite constellation due to frequent cloud cover, atmospheric dust, tidal flooding, and the absence of vertical information in 2D imagery. To build a comprehensive understanding of a coastal mangrove forest, this research ingests and co-registers imagery from three satellite sensors listed below:</w:t>
      </w:r>
    </w:p>
    <w:p w14:paraId="63BAE1F2" w14:textId="77777777" w:rsidR="00D42293" w:rsidRDefault="00000000">
      <w:pPr>
        <w:spacing w:before="200" w:after="80"/>
      </w:pPr>
      <w:r>
        <w:rPr>
          <w:rFonts w:ascii="Times New Roman" w:hAnsi="Times New Roman"/>
          <w:b/>
          <w:color w:val="1E1E1E"/>
        </w:rPr>
        <w:t>Table 3.1: Multi-Source Satellite Telemetry Specifications (Sentinel-1, Sentinel-2, NASA GEDI LiDAR).</w:t>
      </w:r>
    </w:p>
    <w:tbl>
      <w:tblPr>
        <w:tblStyle w:val="TableGrid"/>
        <w:tblW w:w="0" w:type="auto"/>
        <w:jc w:val="center"/>
        <w:tblLook w:val="04A0" w:firstRow="1" w:lastRow="0" w:firstColumn="1" w:lastColumn="0" w:noHBand="0" w:noVBand="1"/>
      </w:tblPr>
      <w:tblGrid>
        <w:gridCol w:w="1521"/>
        <w:gridCol w:w="1702"/>
        <w:gridCol w:w="1571"/>
        <w:gridCol w:w="1414"/>
        <w:gridCol w:w="3008"/>
      </w:tblGrid>
      <w:tr w:rsidR="00D42293" w14:paraId="62A655EF" w14:textId="77777777">
        <w:trPr>
          <w:jc w:val="center"/>
        </w:trPr>
        <w:tc>
          <w:tcPr>
            <w:tcW w:w="1872" w:type="dxa"/>
            <w:shd w:val="clear" w:color="auto" w:fill="E6ECF2"/>
          </w:tcPr>
          <w:p w14:paraId="137AF0C9" w14:textId="77777777" w:rsidR="00D42293" w:rsidRDefault="00000000">
            <w:pPr>
              <w:jc w:val="center"/>
            </w:pPr>
            <w:r>
              <w:rPr>
                <w:rFonts w:ascii="Times New Roman" w:hAnsi="Times New Roman"/>
                <w:b/>
                <w:color w:val="003366"/>
                <w:sz w:val="20"/>
              </w:rPr>
              <w:t>Satellite Sensor</w:t>
            </w:r>
          </w:p>
        </w:tc>
        <w:tc>
          <w:tcPr>
            <w:tcW w:w="2016" w:type="dxa"/>
            <w:shd w:val="clear" w:color="auto" w:fill="E6ECF2"/>
          </w:tcPr>
          <w:p w14:paraId="6E7409C3" w14:textId="77777777" w:rsidR="00D42293" w:rsidRDefault="00000000">
            <w:pPr>
              <w:jc w:val="center"/>
            </w:pPr>
            <w:r>
              <w:rPr>
                <w:rFonts w:ascii="Times New Roman" w:hAnsi="Times New Roman"/>
                <w:b/>
                <w:color w:val="003366"/>
                <w:sz w:val="20"/>
              </w:rPr>
              <w:t>Agency &amp; Instrument</w:t>
            </w:r>
          </w:p>
        </w:tc>
        <w:tc>
          <w:tcPr>
            <w:tcW w:w="1584" w:type="dxa"/>
            <w:shd w:val="clear" w:color="auto" w:fill="E6ECF2"/>
          </w:tcPr>
          <w:p w14:paraId="74A76743" w14:textId="77777777" w:rsidR="00D42293" w:rsidRDefault="00000000">
            <w:pPr>
              <w:jc w:val="center"/>
            </w:pPr>
            <w:r>
              <w:rPr>
                <w:rFonts w:ascii="Times New Roman" w:hAnsi="Times New Roman"/>
                <w:b/>
                <w:color w:val="003366"/>
                <w:sz w:val="20"/>
              </w:rPr>
              <w:t>Spatial Resolution</w:t>
            </w:r>
          </w:p>
        </w:tc>
        <w:tc>
          <w:tcPr>
            <w:tcW w:w="1440" w:type="dxa"/>
            <w:shd w:val="clear" w:color="auto" w:fill="E6ECF2"/>
          </w:tcPr>
          <w:p w14:paraId="5531650F" w14:textId="77777777" w:rsidR="00D42293" w:rsidRDefault="00000000">
            <w:pPr>
              <w:jc w:val="center"/>
            </w:pPr>
            <w:r>
              <w:rPr>
                <w:rFonts w:ascii="Times New Roman" w:hAnsi="Times New Roman"/>
                <w:b/>
                <w:color w:val="003366"/>
                <w:sz w:val="20"/>
              </w:rPr>
              <w:t>Revisit Frequency</w:t>
            </w:r>
          </w:p>
        </w:tc>
        <w:tc>
          <w:tcPr>
            <w:tcW w:w="3888" w:type="dxa"/>
            <w:shd w:val="clear" w:color="auto" w:fill="E6ECF2"/>
          </w:tcPr>
          <w:p w14:paraId="62FEC3B1" w14:textId="77777777" w:rsidR="00D42293" w:rsidRDefault="00000000">
            <w:pPr>
              <w:jc w:val="center"/>
            </w:pPr>
            <w:r>
              <w:rPr>
                <w:rFonts w:ascii="Times New Roman" w:hAnsi="Times New Roman"/>
                <w:b/>
                <w:color w:val="003366"/>
                <w:sz w:val="20"/>
              </w:rPr>
              <w:t>Extracted Features &amp; Physical Relevance</w:t>
            </w:r>
          </w:p>
        </w:tc>
      </w:tr>
      <w:tr w:rsidR="00D42293" w14:paraId="4AE02A3E" w14:textId="77777777">
        <w:trPr>
          <w:jc w:val="center"/>
        </w:trPr>
        <w:tc>
          <w:tcPr>
            <w:tcW w:w="1872" w:type="dxa"/>
          </w:tcPr>
          <w:p w14:paraId="223B9C99" w14:textId="77777777" w:rsidR="00D42293" w:rsidRDefault="00000000">
            <w:pPr>
              <w:jc w:val="center"/>
            </w:pPr>
            <w:r>
              <w:rPr>
                <w:rFonts w:ascii="Times New Roman" w:hAnsi="Times New Roman"/>
                <w:sz w:val="20"/>
              </w:rPr>
              <w:t>Sentinel-1 SAR</w:t>
            </w:r>
          </w:p>
        </w:tc>
        <w:tc>
          <w:tcPr>
            <w:tcW w:w="2016" w:type="dxa"/>
          </w:tcPr>
          <w:p w14:paraId="63F36D33" w14:textId="77777777" w:rsidR="00D42293" w:rsidRDefault="00000000">
            <w:r>
              <w:rPr>
                <w:rFonts w:ascii="Times New Roman" w:hAnsi="Times New Roman"/>
                <w:sz w:val="20"/>
              </w:rPr>
              <w:t>ESA C-Band SAR (5.405 GHz)</w:t>
            </w:r>
          </w:p>
        </w:tc>
        <w:tc>
          <w:tcPr>
            <w:tcW w:w="1584" w:type="dxa"/>
          </w:tcPr>
          <w:p w14:paraId="0CB132A5" w14:textId="77777777" w:rsidR="00D42293" w:rsidRDefault="00000000">
            <w:r>
              <w:rPr>
                <w:rFonts w:ascii="Times New Roman" w:hAnsi="Times New Roman"/>
                <w:sz w:val="20"/>
              </w:rPr>
              <w:t>10 m (interferometric)</w:t>
            </w:r>
          </w:p>
        </w:tc>
        <w:tc>
          <w:tcPr>
            <w:tcW w:w="1440" w:type="dxa"/>
          </w:tcPr>
          <w:p w14:paraId="04F093C0" w14:textId="77777777" w:rsidR="00D42293" w:rsidRDefault="00000000">
            <w:pPr>
              <w:jc w:val="center"/>
            </w:pPr>
            <w:r>
              <w:rPr>
                <w:rFonts w:ascii="Times New Roman" w:hAnsi="Times New Roman"/>
                <w:sz w:val="20"/>
              </w:rPr>
              <w:t>6–12 days</w:t>
            </w:r>
          </w:p>
        </w:tc>
        <w:tc>
          <w:tcPr>
            <w:tcW w:w="3888" w:type="dxa"/>
          </w:tcPr>
          <w:p w14:paraId="1C60DBE2" w14:textId="77777777" w:rsidR="00D42293" w:rsidRDefault="00000000">
            <w:r>
              <w:rPr>
                <w:rFonts w:ascii="Times New Roman" w:hAnsi="Times New Roman"/>
                <w:sz w:val="20"/>
              </w:rPr>
              <w:t>VV backscatter (surface reflectance), VH backscatter (canopy volumetric scattering), VV/VH ratio (canopy density proxy; cloud-penetrating).</w:t>
            </w:r>
          </w:p>
        </w:tc>
      </w:tr>
      <w:tr w:rsidR="00D42293" w14:paraId="78874A9F" w14:textId="77777777">
        <w:trPr>
          <w:jc w:val="center"/>
        </w:trPr>
        <w:tc>
          <w:tcPr>
            <w:tcW w:w="1872" w:type="dxa"/>
          </w:tcPr>
          <w:p w14:paraId="14C16EC2" w14:textId="77777777" w:rsidR="00D42293" w:rsidRDefault="00000000">
            <w:pPr>
              <w:jc w:val="center"/>
            </w:pPr>
            <w:r>
              <w:rPr>
                <w:rFonts w:ascii="Times New Roman" w:hAnsi="Times New Roman"/>
                <w:sz w:val="20"/>
              </w:rPr>
              <w:t>Sentinel-2 MSI</w:t>
            </w:r>
          </w:p>
        </w:tc>
        <w:tc>
          <w:tcPr>
            <w:tcW w:w="2016" w:type="dxa"/>
          </w:tcPr>
          <w:p w14:paraId="5BC2C0F9" w14:textId="77777777" w:rsidR="00D42293" w:rsidRDefault="00000000">
            <w:r>
              <w:rPr>
                <w:rFonts w:ascii="Times New Roman" w:hAnsi="Times New Roman"/>
                <w:sz w:val="20"/>
              </w:rPr>
              <w:t>ESA Multi-Spectral (13 bands)</w:t>
            </w:r>
          </w:p>
        </w:tc>
        <w:tc>
          <w:tcPr>
            <w:tcW w:w="1584" w:type="dxa"/>
          </w:tcPr>
          <w:p w14:paraId="5971E8A5" w14:textId="77777777" w:rsidR="00D42293" w:rsidRDefault="00000000">
            <w:r>
              <w:rPr>
                <w:rFonts w:ascii="Times New Roman" w:hAnsi="Times New Roman"/>
                <w:sz w:val="20"/>
              </w:rPr>
              <w:t>10 m, 20 m, 60 m</w:t>
            </w:r>
          </w:p>
        </w:tc>
        <w:tc>
          <w:tcPr>
            <w:tcW w:w="1440" w:type="dxa"/>
          </w:tcPr>
          <w:p w14:paraId="01F6FA21" w14:textId="77777777" w:rsidR="00D42293" w:rsidRDefault="00000000">
            <w:r>
              <w:rPr>
                <w:rFonts w:ascii="Times New Roman" w:hAnsi="Times New Roman"/>
                <w:sz w:val="20"/>
              </w:rPr>
              <w:t>5 days (constellation)</w:t>
            </w:r>
          </w:p>
        </w:tc>
        <w:tc>
          <w:tcPr>
            <w:tcW w:w="3888" w:type="dxa"/>
          </w:tcPr>
          <w:p w14:paraId="7AE684F3" w14:textId="77777777" w:rsidR="00D42293" w:rsidRDefault="00000000">
            <w:r>
              <w:rPr>
                <w:rFonts w:ascii="Times New Roman" w:hAnsi="Times New Roman"/>
                <w:sz w:val="20"/>
              </w:rPr>
              <w:t>13 spectral bands (B01–B12, B8A) + 6 derived vegetation/water indices (NDVI, EVI, NDWI, MNDWI, SAVI, NBR) measuring photosynthetic vigour.</w:t>
            </w:r>
          </w:p>
        </w:tc>
      </w:tr>
      <w:tr w:rsidR="00D42293" w14:paraId="4430F015" w14:textId="77777777">
        <w:trPr>
          <w:jc w:val="center"/>
        </w:trPr>
        <w:tc>
          <w:tcPr>
            <w:tcW w:w="1872" w:type="dxa"/>
          </w:tcPr>
          <w:p w14:paraId="7946BFB4" w14:textId="77777777" w:rsidR="00D42293" w:rsidRDefault="00000000">
            <w:r>
              <w:rPr>
                <w:rFonts w:ascii="Times New Roman" w:hAnsi="Times New Roman"/>
                <w:sz w:val="20"/>
              </w:rPr>
              <w:t>NASA GEDI LiDAR</w:t>
            </w:r>
          </w:p>
        </w:tc>
        <w:tc>
          <w:tcPr>
            <w:tcW w:w="2016" w:type="dxa"/>
          </w:tcPr>
          <w:p w14:paraId="2A3545AB" w14:textId="77777777" w:rsidR="00D42293" w:rsidRDefault="00000000">
            <w:r>
              <w:rPr>
                <w:rFonts w:ascii="Times New Roman" w:hAnsi="Times New Roman"/>
                <w:sz w:val="20"/>
              </w:rPr>
              <w:t>NASA ISS High-Power Laser</w:t>
            </w:r>
          </w:p>
        </w:tc>
        <w:tc>
          <w:tcPr>
            <w:tcW w:w="1584" w:type="dxa"/>
          </w:tcPr>
          <w:p w14:paraId="58BE6C8A" w14:textId="77777777" w:rsidR="00D42293" w:rsidRDefault="00000000">
            <w:pPr>
              <w:jc w:val="center"/>
            </w:pPr>
            <w:r>
              <w:rPr>
                <w:rFonts w:ascii="Times New Roman" w:hAnsi="Times New Roman"/>
                <w:sz w:val="20"/>
              </w:rPr>
              <w:t>25 m footprint</w:t>
            </w:r>
          </w:p>
        </w:tc>
        <w:tc>
          <w:tcPr>
            <w:tcW w:w="1440" w:type="dxa"/>
          </w:tcPr>
          <w:p w14:paraId="1C56C58C" w14:textId="77777777" w:rsidR="00D42293" w:rsidRDefault="00000000">
            <w:r>
              <w:rPr>
                <w:rFonts w:ascii="Times New Roman" w:hAnsi="Times New Roman"/>
                <w:sz w:val="20"/>
              </w:rPr>
              <w:t>Near-equatorial orbit</w:t>
            </w:r>
          </w:p>
        </w:tc>
        <w:tc>
          <w:tcPr>
            <w:tcW w:w="3888" w:type="dxa"/>
          </w:tcPr>
          <w:p w14:paraId="47E5566A" w14:textId="77777777" w:rsidR="00D42293" w:rsidRDefault="00000000">
            <w:r>
              <w:rPr>
                <w:rFonts w:ascii="Times New Roman" w:hAnsi="Times New Roman"/>
                <w:sz w:val="20"/>
              </w:rPr>
              <w:t>8 structural parameters: RH100 (max height), RH98, RH92, Ground Elevation, PAI, Foliage Height Diversity (FHD), FCOVER, Biomass (Mg/ha).</w:t>
            </w:r>
          </w:p>
        </w:tc>
      </w:tr>
    </w:tbl>
    <w:p w14:paraId="24772BB9" w14:textId="77777777" w:rsidR="00D42293" w:rsidRDefault="00D42293">
      <w:pPr>
        <w:spacing w:before="40" w:after="120"/>
      </w:pPr>
    </w:p>
    <w:p w14:paraId="2E3BBB90" w14:textId="39BA7833" w:rsidR="005D3C8F" w:rsidRPr="005D3C8F" w:rsidRDefault="00000000" w:rsidP="005D3C8F">
      <w:pPr>
        <w:keepNext/>
        <w:spacing w:before="280" w:after="120"/>
      </w:pPr>
      <w:r>
        <w:rPr>
          <w:rFonts w:ascii="Times New Roman" w:hAnsi="Times New Roman"/>
          <w:b/>
          <w:color w:val="005078"/>
          <w:sz w:val="26"/>
        </w:rPr>
        <w:t>3.3 Stage 0: Data Engineering, Coordinate Sampling, and Cloud Masking</w:t>
      </w:r>
    </w:p>
    <w:p w14:paraId="17AA57C0" w14:textId="2B409C58" w:rsidR="005D3C8F" w:rsidRPr="005D3C8F" w:rsidRDefault="005D3C8F" w:rsidP="005D3C8F">
      <w:pPr>
        <w:spacing w:after="120" w:line="360" w:lineRule="exact"/>
        <w:jc w:val="both"/>
        <w:rPr>
          <w:lang w:val="en-IN"/>
        </w:rPr>
      </w:pPr>
      <w:r w:rsidRPr="005D3C8F">
        <w:rPr>
          <w:lang w:val="en-IN"/>
        </w:rPr>
        <w:t xml:space="preserve">The first step in building the MCIP is data engineering, which involves finding, transforming, and preparing the data for the computer vision pipeline. The UAE coastline presents several challenges with respect to satellite imaging. In this region, narrow mangrove strips are often found adjacent to sand dunes, hypersaline sabkha flats, urban lagoons, shipping channels, and islands. Thus, a global bounding box will result in irrelevant pixels, which will overwhelm the </w:t>
      </w:r>
      <w:r w:rsidRPr="005D3C8F">
        <w:rPr>
          <w:lang w:val="en-IN"/>
        </w:rPr>
        <w:lastRenderedPageBreak/>
        <w:t>neural network during training. To define the region of interest, I manually selected coordinates using the Copernicus Open Access Browser.</w:t>
      </w:r>
    </w:p>
    <w:p w14:paraId="7CF52B3A" w14:textId="41A201E9" w:rsidR="005D3C8F" w:rsidRPr="005D3C8F" w:rsidRDefault="005D3C8F" w:rsidP="005D3C8F">
      <w:pPr>
        <w:spacing w:after="120" w:line="360" w:lineRule="exact"/>
        <w:jc w:val="both"/>
        <w:rPr>
          <w:rFonts w:ascii="Times New Roman" w:hAnsi="Times New Roman"/>
          <w:sz w:val="24"/>
          <w:lang w:val="en-IN"/>
        </w:rPr>
      </w:pPr>
      <w:r w:rsidRPr="005D3C8F">
        <w:rPr>
          <w:rFonts w:ascii="Times New Roman" w:hAnsi="Times New Roman"/>
          <w:sz w:val="24"/>
          <w:lang w:val="en-IN"/>
        </w:rPr>
        <w:t>Figure 3.1 Copernicus API Home Screen. The Copernicus Open Access Hub offers a wealth of information on the European Space Agency’s Earth Observation missions, including Sentinel-1 SAR and Sentinel-2 Multi-Spectral. Using the API, users may access the satellite data of their choice.</w:t>
      </w:r>
    </w:p>
    <w:p w14:paraId="44973ECE" w14:textId="64883F0A" w:rsidR="00D42293" w:rsidRDefault="00D42293">
      <w:pPr>
        <w:spacing w:after="120" w:line="360" w:lineRule="exact"/>
        <w:jc w:val="both"/>
      </w:pPr>
    </w:p>
    <w:p w14:paraId="79514737" w14:textId="77777777" w:rsidR="00D42293" w:rsidRDefault="00000000">
      <w:pPr>
        <w:spacing w:before="160" w:after="80"/>
        <w:jc w:val="center"/>
      </w:pPr>
      <w:r>
        <w:rPr>
          <w:noProof/>
        </w:rPr>
        <w:drawing>
          <wp:inline distT="0" distB="0" distL="0" distR="0" wp14:anchorId="7F4F9770" wp14:editId="2B719701">
            <wp:extent cx="5303520" cy="2979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HomePage_showing_available_Satelites.png"/>
                    <pic:cNvPicPr/>
                  </pic:nvPicPr>
                  <pic:blipFill>
                    <a:blip r:embed="rId7"/>
                    <a:stretch>
                      <a:fillRect/>
                    </a:stretch>
                  </pic:blipFill>
                  <pic:spPr>
                    <a:xfrm>
                      <a:off x="0" y="0"/>
                      <a:ext cx="5303520" cy="2979599"/>
                    </a:xfrm>
                    <a:prstGeom prst="rect">
                      <a:avLst/>
                    </a:prstGeom>
                  </pic:spPr>
                </pic:pic>
              </a:graphicData>
            </a:graphic>
          </wp:inline>
        </w:drawing>
      </w:r>
    </w:p>
    <w:p w14:paraId="5152A33E" w14:textId="52951E37" w:rsidR="000D4FC0" w:rsidRPr="000D4FC0" w:rsidRDefault="00000000" w:rsidP="000D4FC0">
      <w:pPr>
        <w:spacing w:before="40" w:after="160"/>
        <w:jc w:val="center"/>
      </w:pPr>
      <w:r>
        <w:rPr>
          <w:rFonts w:ascii="Times New Roman" w:hAnsi="Times New Roman"/>
          <w:i/>
          <w:color w:val="505050"/>
          <w:sz w:val="20"/>
        </w:rPr>
        <w:t>Figure 3.1: Copernicus Open Access Interface displaying Sentinel satellite constellation telemetry availability.</w:t>
      </w:r>
    </w:p>
    <w:p w14:paraId="41FDDD17" w14:textId="641F92FD" w:rsidR="000D4FC0" w:rsidRPr="000D4FC0" w:rsidRDefault="000D4FC0" w:rsidP="000D4FC0">
      <w:pPr>
        <w:spacing w:after="120" w:line="360" w:lineRule="exact"/>
        <w:jc w:val="both"/>
        <w:rPr>
          <w:rFonts w:ascii="Times New Roman" w:hAnsi="Times New Roman"/>
          <w:sz w:val="24"/>
        </w:rPr>
      </w:pPr>
      <w:r w:rsidRPr="000D4FC0">
        <w:rPr>
          <w:rFonts w:ascii="Times New Roman" w:hAnsi="Times New Roman"/>
          <w:sz w:val="24"/>
        </w:rPr>
        <w:t>Figure 3.1 presents the starting data discovery and API configuration portal for the Copernicus Open Access Hub. This window previews the orbital swaths and metadata catalogues for the Sentinel-1 Synthetic Aperture Radar, Sentinel-2 Multi-Spectral Instrument, Sentinel-3 oceanographic telemetry, and Sentinel-5P atmospheric composition sensors. For the MCIP data engineering pipeline, this portal was used to configure the API endpoint authentication, spatial bounding boxes, and cloud-cover threshold parameters (&lt;10% cloud obscuration) over the Arabian Gulf quadrant.</w:t>
      </w:r>
    </w:p>
    <w:p w14:paraId="6A4D5418" w14:textId="431793EC" w:rsidR="00D42293" w:rsidRDefault="000D4FC0" w:rsidP="000D4FC0">
      <w:pPr>
        <w:spacing w:after="120" w:line="360" w:lineRule="exact"/>
        <w:jc w:val="both"/>
      </w:pPr>
      <w:r w:rsidRPr="000D4FC0">
        <w:rPr>
          <w:rFonts w:ascii="Times New Roman" w:hAnsi="Times New Roman"/>
          <w:sz w:val="24"/>
        </w:rPr>
        <w:t>To train a high-performance classification model which could isolate coastal mangroves from all confounding background terrain, five mutually exclusive land-cover classes were defined: Mangrove, Water, Sand, Urban, and Inland Terrestrial Forest. Carefully selected bounding boxes/point coordinate clusters were manually sampled across verified geographic locations within the Copernicus interface, as presented in Figures 3.2 through 3.6.</w:t>
      </w:r>
    </w:p>
    <w:p w14:paraId="339FFD01" w14:textId="77777777" w:rsidR="00D42293" w:rsidRDefault="00000000">
      <w:pPr>
        <w:spacing w:before="160" w:after="80"/>
        <w:jc w:val="center"/>
      </w:pPr>
      <w:r>
        <w:rPr>
          <w:noProof/>
        </w:rPr>
        <w:lastRenderedPageBreak/>
        <w:drawing>
          <wp:inline distT="0" distB="0" distL="0" distR="0" wp14:anchorId="3FBAC9D2" wp14:editId="7BDD4990">
            <wp:extent cx="5303520" cy="2996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Sentinal_2_Manual_Coordinate_of_Mangrove_Categoty_Selecting_Sccreenshots.png"/>
                    <pic:cNvPicPr/>
                  </pic:nvPicPr>
                  <pic:blipFill>
                    <a:blip r:embed="rId8"/>
                    <a:stretch>
                      <a:fillRect/>
                    </a:stretch>
                  </pic:blipFill>
                  <pic:spPr>
                    <a:xfrm>
                      <a:off x="0" y="0"/>
                      <a:ext cx="5303520" cy="2996795"/>
                    </a:xfrm>
                    <a:prstGeom prst="rect">
                      <a:avLst/>
                    </a:prstGeom>
                  </pic:spPr>
                </pic:pic>
              </a:graphicData>
            </a:graphic>
          </wp:inline>
        </w:drawing>
      </w:r>
    </w:p>
    <w:p w14:paraId="1BB9D280" w14:textId="77777777" w:rsidR="00D42293" w:rsidRDefault="00000000">
      <w:pPr>
        <w:spacing w:before="40" w:after="160"/>
        <w:jc w:val="center"/>
      </w:pPr>
      <w:r>
        <w:rPr>
          <w:rFonts w:ascii="Times New Roman" w:hAnsi="Times New Roman"/>
          <w:i/>
          <w:color w:val="505050"/>
          <w:sz w:val="20"/>
        </w:rPr>
        <w:t>Figure 3.2: Manual bounding box and coordinate selection for the coastal Mangrove category in Copernicus.</w:t>
      </w:r>
    </w:p>
    <w:p w14:paraId="42CD48C0" w14:textId="1001970E" w:rsidR="00D42293" w:rsidRPr="000D4FC0" w:rsidRDefault="000D4FC0">
      <w:pPr>
        <w:spacing w:after="120" w:line="360" w:lineRule="exact"/>
        <w:jc w:val="both"/>
        <w:rPr>
          <w:rFonts w:ascii="Times New Roman" w:hAnsi="Times New Roman"/>
          <w:sz w:val="24"/>
        </w:rPr>
      </w:pPr>
      <w:r w:rsidRPr="000D4FC0">
        <w:rPr>
          <w:rFonts w:ascii="Times New Roman" w:hAnsi="Times New Roman"/>
          <w:sz w:val="24"/>
        </w:rPr>
        <w:t>Figure 3.2 Manual coordinate sampling for target Mangrove category along the coastal lagoons of the UAE.Dense mangrove clusters in the Eastern Mangrove Lagoon National Park in Abu Dhabi and Khor Kalba were circumscribed using polygon coordinates. Sampling strictly within verified mangrove canopies captured pure radiometric signatures across Sentinel-2 bands (notably high near-infrared reflectance in B08 and distinct red-edge absorption in B05-B07) and Sentinel-1 cross-polarised VH backscatter without shoreline water dilution.</w:t>
      </w:r>
    </w:p>
    <w:p w14:paraId="586CB5D4" w14:textId="77777777" w:rsidR="00D42293" w:rsidRDefault="00000000">
      <w:pPr>
        <w:spacing w:before="160" w:after="80"/>
        <w:jc w:val="center"/>
      </w:pPr>
      <w:r>
        <w:rPr>
          <w:noProof/>
        </w:rPr>
        <w:drawing>
          <wp:inline distT="0" distB="0" distL="0" distR="0" wp14:anchorId="735C1611" wp14:editId="2EC774A6">
            <wp:extent cx="5303520" cy="2927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Sentinal_2_Manual_Coordinate_of_Water_Categoty_Selecting_Sccreenshots.png"/>
                    <pic:cNvPicPr/>
                  </pic:nvPicPr>
                  <pic:blipFill>
                    <a:blip r:embed="rId9"/>
                    <a:stretch>
                      <a:fillRect/>
                    </a:stretch>
                  </pic:blipFill>
                  <pic:spPr>
                    <a:xfrm>
                      <a:off x="0" y="0"/>
                      <a:ext cx="5303520" cy="2927140"/>
                    </a:xfrm>
                    <a:prstGeom prst="rect">
                      <a:avLst/>
                    </a:prstGeom>
                  </pic:spPr>
                </pic:pic>
              </a:graphicData>
            </a:graphic>
          </wp:inline>
        </w:drawing>
      </w:r>
    </w:p>
    <w:p w14:paraId="5D887C2D" w14:textId="77777777" w:rsidR="00D42293" w:rsidRDefault="00000000">
      <w:pPr>
        <w:spacing w:before="40" w:after="160"/>
        <w:jc w:val="center"/>
      </w:pPr>
      <w:r>
        <w:rPr>
          <w:rFonts w:ascii="Times New Roman" w:hAnsi="Times New Roman"/>
          <w:i/>
          <w:color w:val="505050"/>
          <w:sz w:val="20"/>
        </w:rPr>
        <w:t>Figure 3.3: Manual coordinate sampling and spectral verification for the marine Water class.</w:t>
      </w:r>
    </w:p>
    <w:p w14:paraId="5810B558" w14:textId="7EB2F3EF" w:rsidR="00D42293" w:rsidRDefault="00000000">
      <w:pPr>
        <w:spacing w:after="120" w:line="360" w:lineRule="exact"/>
        <w:jc w:val="both"/>
      </w:pPr>
      <w:r>
        <w:rPr>
          <w:rFonts w:ascii="Times New Roman" w:hAnsi="Times New Roman"/>
          <w:sz w:val="24"/>
        </w:rPr>
        <w:lastRenderedPageBreak/>
        <w:t xml:space="preserve">Figure 3.3 </w:t>
      </w:r>
      <w:r w:rsidR="000D4FC0" w:rsidRPr="000D4FC0">
        <w:rPr>
          <w:rFonts w:ascii="Times New Roman" w:hAnsi="Times New Roman"/>
          <w:sz w:val="24"/>
        </w:rPr>
        <w:t>The coordinate selection for the marine Water class encompassed deep Persian Gulf waters, shallow tidal channels, and sheltered coastal inlets. Sampling open water across varying depths and turbidities was critical for calibrating the Normalised Difference Water Index (NDWI) and Modified NDWI (MNDWI) to clearly differentiate submerged mangrove roots from surrounding tidal waterways.</w:t>
      </w:r>
    </w:p>
    <w:p w14:paraId="1409D97F" w14:textId="77777777" w:rsidR="00D42293" w:rsidRDefault="00000000">
      <w:pPr>
        <w:spacing w:before="160" w:after="80"/>
        <w:jc w:val="center"/>
      </w:pPr>
      <w:r>
        <w:rPr>
          <w:noProof/>
        </w:rPr>
        <w:drawing>
          <wp:inline distT="0" distB="0" distL="0" distR="0" wp14:anchorId="34D2E27E" wp14:editId="3DDBA8EF">
            <wp:extent cx="5303520" cy="297959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Sentinal_2_Manual_Coordinate_of_Sand_Categoty_Selecting_Sccreenshots.png"/>
                    <pic:cNvPicPr/>
                  </pic:nvPicPr>
                  <pic:blipFill>
                    <a:blip r:embed="rId10"/>
                    <a:stretch>
                      <a:fillRect/>
                    </a:stretch>
                  </pic:blipFill>
                  <pic:spPr>
                    <a:xfrm>
                      <a:off x="0" y="0"/>
                      <a:ext cx="5303520" cy="2979599"/>
                    </a:xfrm>
                    <a:prstGeom prst="rect">
                      <a:avLst/>
                    </a:prstGeom>
                  </pic:spPr>
                </pic:pic>
              </a:graphicData>
            </a:graphic>
          </wp:inline>
        </w:drawing>
      </w:r>
    </w:p>
    <w:p w14:paraId="58E99F86" w14:textId="77777777" w:rsidR="00D42293" w:rsidRDefault="00000000">
      <w:pPr>
        <w:spacing w:before="40" w:after="160"/>
        <w:jc w:val="center"/>
      </w:pPr>
      <w:r>
        <w:rPr>
          <w:rFonts w:ascii="Times New Roman" w:hAnsi="Times New Roman"/>
          <w:i/>
          <w:color w:val="505050"/>
          <w:sz w:val="20"/>
        </w:rPr>
        <w:t>Figure 3.4: Manual coordinate sampling for hyper-arid coastal Sand dunes and sabkha flats.</w:t>
      </w:r>
    </w:p>
    <w:p w14:paraId="1599AEF9" w14:textId="7C8509CA" w:rsidR="00D42293" w:rsidRDefault="00000000">
      <w:pPr>
        <w:spacing w:after="120" w:line="360" w:lineRule="exact"/>
        <w:jc w:val="both"/>
      </w:pPr>
      <w:r>
        <w:rPr>
          <w:rFonts w:ascii="Times New Roman" w:hAnsi="Times New Roman"/>
          <w:sz w:val="24"/>
        </w:rPr>
        <w:t xml:space="preserve">Figure 3.4 shows </w:t>
      </w:r>
      <w:r w:rsidR="000D4FC0">
        <w:rPr>
          <w:rFonts w:ascii="Times New Roman" w:hAnsi="Times New Roman"/>
          <w:sz w:val="24"/>
        </w:rPr>
        <w:t>t</w:t>
      </w:r>
      <w:r w:rsidR="000D4FC0" w:rsidRPr="000D4FC0">
        <w:rPr>
          <w:rFonts w:ascii="Times New Roman" w:hAnsi="Times New Roman"/>
          <w:sz w:val="24"/>
        </w:rPr>
        <w:t>he coordinate delineation for hyper-arid coastal Sand and evaporite sabkha salt flats captured the exceptionally high optical albedo of bare sand across all visible and shortwave-infrared bands (B02, B03, B04, B11, B12) and near-zero radar volumetric backscatter in Sentinel-1. Capturing this hyper-reflective spectral signature is essential to avoid false-positive vegetation classifications across coastal sand spits.</w:t>
      </w:r>
    </w:p>
    <w:p w14:paraId="43DA5163" w14:textId="77777777" w:rsidR="00D42293" w:rsidRDefault="00000000">
      <w:pPr>
        <w:spacing w:before="160" w:after="80"/>
        <w:jc w:val="center"/>
      </w:pPr>
      <w:r>
        <w:rPr>
          <w:noProof/>
        </w:rPr>
        <w:lastRenderedPageBreak/>
        <w:drawing>
          <wp:inline distT="0" distB="0" distL="0" distR="0" wp14:anchorId="6FF54695" wp14:editId="4683803E">
            <wp:extent cx="5303520" cy="298115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Sentinal_2_Manual_Coordinate_of_Urban_Categoty_Selecting_Sccreenshots.png"/>
                    <pic:cNvPicPr/>
                  </pic:nvPicPr>
                  <pic:blipFill>
                    <a:blip r:embed="rId11"/>
                    <a:stretch>
                      <a:fillRect/>
                    </a:stretch>
                  </pic:blipFill>
                  <pic:spPr>
                    <a:xfrm>
                      <a:off x="0" y="0"/>
                      <a:ext cx="5303520" cy="2981154"/>
                    </a:xfrm>
                    <a:prstGeom prst="rect">
                      <a:avLst/>
                    </a:prstGeom>
                  </pic:spPr>
                </pic:pic>
              </a:graphicData>
            </a:graphic>
          </wp:inline>
        </w:drawing>
      </w:r>
    </w:p>
    <w:p w14:paraId="29710F05" w14:textId="77777777" w:rsidR="00D42293" w:rsidRDefault="00000000">
      <w:pPr>
        <w:spacing w:before="40" w:after="160"/>
        <w:jc w:val="center"/>
      </w:pPr>
      <w:r>
        <w:rPr>
          <w:rFonts w:ascii="Times New Roman" w:hAnsi="Times New Roman"/>
          <w:i/>
          <w:color w:val="505050"/>
          <w:sz w:val="20"/>
        </w:rPr>
        <w:t>Figure 3.5: Manual coordinate sampling for coastal Urban infrastructure, ports, and settlements.</w:t>
      </w:r>
    </w:p>
    <w:p w14:paraId="7159F44D" w14:textId="3381854B" w:rsidR="00D42293" w:rsidRDefault="00000000">
      <w:pPr>
        <w:spacing w:after="120" w:line="360" w:lineRule="exact"/>
        <w:jc w:val="both"/>
      </w:pPr>
      <w:r>
        <w:rPr>
          <w:rFonts w:ascii="Times New Roman" w:hAnsi="Times New Roman"/>
          <w:sz w:val="24"/>
        </w:rPr>
        <w:t>Figure 3.5 captures</w:t>
      </w:r>
      <w:r w:rsidR="000D4FC0">
        <w:rPr>
          <w:rFonts w:ascii="Times New Roman" w:hAnsi="Times New Roman"/>
          <w:sz w:val="24"/>
        </w:rPr>
        <w:t xml:space="preserve"> t</w:t>
      </w:r>
      <w:r w:rsidR="000D4FC0" w:rsidRPr="000D4FC0">
        <w:rPr>
          <w:rFonts w:ascii="Times New Roman" w:hAnsi="Times New Roman"/>
          <w:sz w:val="24"/>
        </w:rPr>
        <w:t>he bounding coordinate selection encompassed coastal Urban infrastructure, including high-density residential towers, concrete seawalls, asphalt highways, and maritime port facilities in Abu Dhabi and Dubai. Urban concrete and steel structures exhibit strong radar double-bounce reflections in Sentinel-1 VV backscatter. The discrete Urban training class enabled the model to filter out man-made shoreline developments immediately adjacent to protected wetland reserves.</w:t>
      </w:r>
    </w:p>
    <w:p w14:paraId="22FE24BC" w14:textId="77777777" w:rsidR="00D42293" w:rsidRDefault="00000000">
      <w:pPr>
        <w:spacing w:before="160" w:after="80"/>
        <w:jc w:val="center"/>
      </w:pPr>
      <w:r>
        <w:rPr>
          <w:noProof/>
        </w:rPr>
        <w:drawing>
          <wp:inline distT="0" distB="0" distL="0" distR="0" wp14:anchorId="676D5974" wp14:editId="690DB192">
            <wp:extent cx="5303520" cy="29935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Sentinal_2_Manual_Coordinate_of_Forest_Categoty_Selecting_Sccreenshots.png"/>
                    <pic:cNvPicPr/>
                  </pic:nvPicPr>
                  <pic:blipFill>
                    <a:blip r:embed="rId12"/>
                    <a:stretch>
                      <a:fillRect/>
                    </a:stretch>
                  </pic:blipFill>
                  <pic:spPr>
                    <a:xfrm>
                      <a:off x="0" y="0"/>
                      <a:ext cx="5303520" cy="2993518"/>
                    </a:xfrm>
                    <a:prstGeom prst="rect">
                      <a:avLst/>
                    </a:prstGeom>
                  </pic:spPr>
                </pic:pic>
              </a:graphicData>
            </a:graphic>
          </wp:inline>
        </w:drawing>
      </w:r>
    </w:p>
    <w:p w14:paraId="0AD41665" w14:textId="77777777" w:rsidR="00D42293" w:rsidRDefault="00000000">
      <w:pPr>
        <w:spacing w:before="40" w:after="160"/>
        <w:jc w:val="center"/>
      </w:pPr>
      <w:r>
        <w:rPr>
          <w:rFonts w:ascii="Times New Roman" w:hAnsi="Times New Roman"/>
          <w:i/>
          <w:color w:val="505050"/>
          <w:sz w:val="20"/>
        </w:rPr>
        <w:t>Figure 3.6: Manual coordinate sampling for terrestrial inland Forest and irrigated park vegetation.</w:t>
      </w:r>
    </w:p>
    <w:p w14:paraId="2DCEDEEA" w14:textId="340A0839" w:rsidR="000D4FC0" w:rsidRPr="000D4FC0" w:rsidRDefault="00000000" w:rsidP="000D4FC0">
      <w:pPr>
        <w:spacing w:after="120" w:line="360" w:lineRule="exact"/>
        <w:jc w:val="both"/>
        <w:rPr>
          <w:lang w:val="en-IN"/>
        </w:rPr>
      </w:pPr>
      <w:r>
        <w:rPr>
          <w:rFonts w:ascii="Times New Roman" w:hAnsi="Times New Roman"/>
          <w:sz w:val="24"/>
        </w:rPr>
        <w:lastRenderedPageBreak/>
        <w:t>Figure 3.6 documents t</w:t>
      </w:r>
      <w:r w:rsidR="000D4FC0" w:rsidRPr="000D4FC0">
        <w:rPr>
          <w:lang w:val="en-IN"/>
        </w:rPr>
        <w:t>he coordinate selection for the terrestrial inland Forest category encompassed irrigated public parks, date palm plantations, and inland agricultural green belts. Terrestrial vegetation exhibits high optical NDVI values similar to coastal mangroves, but terrestrial trees grow on dry, non-saline soil without tidal inundation cycles. Explicitly modelling terrestrial forest as a distinct training class enables distinguishing coastal marine mangroves from inland vegetation.</w:t>
      </w:r>
    </w:p>
    <w:p w14:paraId="744A7BF0" w14:textId="77777777" w:rsidR="000D4FC0" w:rsidRPr="000D4FC0" w:rsidRDefault="000D4FC0" w:rsidP="000D4FC0">
      <w:pPr>
        <w:spacing w:after="120" w:line="360" w:lineRule="exact"/>
        <w:jc w:val="both"/>
        <w:rPr>
          <w:rFonts w:ascii="Times New Roman" w:hAnsi="Times New Roman"/>
          <w:sz w:val="24"/>
          <w:lang w:val="en-IN"/>
        </w:rPr>
      </w:pPr>
      <w:r w:rsidRPr="000D4FC0">
        <w:rPr>
          <w:rFonts w:ascii="Times New Roman" w:hAnsi="Times New Roman"/>
          <w:sz w:val="24"/>
          <w:lang w:val="en-IN"/>
        </w:rPr>
        <w:t>In addition to local UAE sampling, Stage 0 encompassed the coordinate selection for the NASA GEDI transfer-learning corpus. Due to the extreme sparsity of GEDI spaceborne LiDAR over the Arabian Gulf, the equatorial Sundarbans mangrove forest in Bangladesh was circumscribed to extract dense paired Sentinel and GEDI structural waveforms (Figure 3.7).</w:t>
      </w:r>
    </w:p>
    <w:p w14:paraId="13053AD3" w14:textId="6881AA95" w:rsidR="00D42293" w:rsidRDefault="00D42293" w:rsidP="000D4FC0">
      <w:pPr>
        <w:spacing w:after="120" w:line="360" w:lineRule="exact"/>
        <w:jc w:val="both"/>
      </w:pPr>
    </w:p>
    <w:p w14:paraId="4AAE6C25" w14:textId="77777777" w:rsidR="00D42293" w:rsidRDefault="00000000">
      <w:pPr>
        <w:spacing w:before="160" w:after="80"/>
        <w:jc w:val="center"/>
      </w:pPr>
      <w:r>
        <w:rPr>
          <w:noProof/>
        </w:rPr>
        <w:drawing>
          <wp:inline distT="0" distB="0" distL="0" distR="0" wp14:anchorId="4D622699" wp14:editId="496F9F63">
            <wp:extent cx="5303520" cy="3004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Sentinal_2_Manual_Coordinate_of_Sundarbans_Selecting_Sccreenshots.png"/>
                    <pic:cNvPicPr/>
                  </pic:nvPicPr>
                  <pic:blipFill>
                    <a:blip r:embed="rId13"/>
                    <a:stretch>
                      <a:fillRect/>
                    </a:stretch>
                  </pic:blipFill>
                  <pic:spPr>
                    <a:xfrm>
                      <a:off x="0" y="0"/>
                      <a:ext cx="5303520" cy="3004954"/>
                    </a:xfrm>
                    <a:prstGeom prst="rect">
                      <a:avLst/>
                    </a:prstGeom>
                  </pic:spPr>
                </pic:pic>
              </a:graphicData>
            </a:graphic>
          </wp:inline>
        </w:drawing>
      </w:r>
    </w:p>
    <w:p w14:paraId="2077A9D3" w14:textId="77777777" w:rsidR="00D42293" w:rsidRDefault="00000000">
      <w:pPr>
        <w:spacing w:before="40" w:after="160"/>
        <w:jc w:val="center"/>
      </w:pPr>
      <w:r>
        <w:rPr>
          <w:rFonts w:ascii="Times New Roman" w:hAnsi="Times New Roman"/>
          <w:i/>
          <w:color w:val="505050"/>
          <w:sz w:val="20"/>
        </w:rPr>
        <w:t>Figure 3.7: Copernicus interface showing coordinate selection across the Sundarbans mangrove forest in Bangladesh.</w:t>
      </w:r>
    </w:p>
    <w:p w14:paraId="7AC801E1" w14:textId="253E75BE" w:rsidR="000D4FC0" w:rsidRPr="000D4FC0" w:rsidRDefault="00000000" w:rsidP="000D4FC0">
      <w:pPr>
        <w:spacing w:after="120" w:line="360" w:lineRule="exact"/>
        <w:jc w:val="both"/>
        <w:rPr>
          <w:lang w:val="en-IN"/>
        </w:rPr>
      </w:pPr>
      <w:r>
        <w:rPr>
          <w:rFonts w:ascii="Times New Roman" w:hAnsi="Times New Roman"/>
          <w:sz w:val="24"/>
        </w:rPr>
        <w:t xml:space="preserve">Figure 3.7 </w:t>
      </w:r>
      <w:r w:rsidR="000D4FC0">
        <w:rPr>
          <w:rFonts w:ascii="Times New Roman" w:hAnsi="Times New Roman"/>
          <w:sz w:val="24"/>
        </w:rPr>
        <w:t>shows</w:t>
      </w:r>
      <w:r>
        <w:rPr>
          <w:rFonts w:ascii="Times New Roman" w:hAnsi="Times New Roman"/>
          <w:sz w:val="24"/>
        </w:rPr>
        <w:t xml:space="preserve"> </w:t>
      </w:r>
      <w:r w:rsidR="000D4FC0">
        <w:rPr>
          <w:lang w:val="en-IN"/>
        </w:rPr>
        <w:t>t</w:t>
      </w:r>
      <w:r w:rsidR="000D4FC0" w:rsidRPr="000D4FC0">
        <w:rPr>
          <w:lang w:val="en-IN"/>
        </w:rPr>
        <w:t>he extensive bounding box was defined across the UNESCO World Heritage Sundarbans mangrove delta spanning Bangladesh and India. Positioned near the equator (~21.5°N to 22.5°N), the Sundarbans receives dense, multi-track GEDI LiDAR orbital passes, providing tens of thousands of high-confidence structural canopy waveforms (rh100, PAI, biomass). Co-registering these LiDAR returns with Sentinel-1 and Sentinel-2 telemetry provided the empirical training foundation for the neural imputation transfer learning engine.</w:t>
      </w:r>
    </w:p>
    <w:p w14:paraId="29BACA16" w14:textId="6837AF98" w:rsidR="000D4FC0" w:rsidRPr="000D4FC0" w:rsidRDefault="000D4FC0" w:rsidP="000D4FC0">
      <w:pPr>
        <w:spacing w:after="120" w:line="360" w:lineRule="exact"/>
        <w:jc w:val="both"/>
        <w:rPr>
          <w:rFonts w:ascii="Times New Roman" w:hAnsi="Times New Roman"/>
          <w:sz w:val="24"/>
          <w:lang w:val="en-IN"/>
        </w:rPr>
      </w:pPr>
      <w:r w:rsidRPr="000D4FC0">
        <w:rPr>
          <w:rFonts w:ascii="Times New Roman" w:hAnsi="Times New Roman"/>
          <w:sz w:val="24"/>
          <w:lang w:val="en-IN"/>
        </w:rPr>
        <w:lastRenderedPageBreak/>
        <w:t>Finally, Figure 3.8 shows the macro-scale study area bounding box encompassing the entire UAE coastline from the Saudi border in the west, through Abu Dhabi and Dubai, to the northern and eastern emirates.</w:t>
      </w:r>
    </w:p>
    <w:p w14:paraId="7DE77DF0" w14:textId="7FEA4DBE" w:rsidR="00D42293" w:rsidRDefault="00D42293">
      <w:pPr>
        <w:spacing w:after="120" w:line="360" w:lineRule="exact"/>
        <w:jc w:val="both"/>
      </w:pPr>
    </w:p>
    <w:p w14:paraId="34D7591F" w14:textId="77777777" w:rsidR="00D42293" w:rsidRDefault="00000000">
      <w:pPr>
        <w:spacing w:before="160" w:after="80"/>
        <w:jc w:val="center"/>
      </w:pPr>
      <w:r>
        <w:rPr>
          <w:noProof/>
        </w:rPr>
        <w:drawing>
          <wp:inline distT="0" distB="0" distL="0" distR="0" wp14:anchorId="5A4270B4" wp14:editId="41EA9E21">
            <wp:extent cx="5303520" cy="2979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_Copernicus_Sentinal_2_Manual_Coordinate_of_UE_Costal_Region_Selecting_Screenshots.png"/>
                    <pic:cNvPicPr/>
                  </pic:nvPicPr>
                  <pic:blipFill>
                    <a:blip r:embed="rId14"/>
                    <a:stretch>
                      <a:fillRect/>
                    </a:stretch>
                  </pic:blipFill>
                  <pic:spPr>
                    <a:xfrm>
                      <a:off x="0" y="0"/>
                      <a:ext cx="5303520" cy="2979599"/>
                    </a:xfrm>
                    <a:prstGeom prst="rect">
                      <a:avLst/>
                    </a:prstGeom>
                  </pic:spPr>
                </pic:pic>
              </a:graphicData>
            </a:graphic>
          </wp:inline>
        </w:drawing>
      </w:r>
    </w:p>
    <w:p w14:paraId="4482DAB2" w14:textId="77777777" w:rsidR="00D42293" w:rsidRDefault="00000000">
      <w:pPr>
        <w:spacing w:before="40" w:after="160"/>
        <w:jc w:val="center"/>
      </w:pPr>
      <w:r>
        <w:rPr>
          <w:rFonts w:ascii="Times New Roman" w:hAnsi="Times New Roman"/>
          <w:i/>
          <w:color w:val="505050"/>
          <w:sz w:val="20"/>
        </w:rPr>
        <w:t>Figure 3.8: Geographic extent and bounding coordinate box for the UAE coastal mangrove study area.</w:t>
      </w:r>
    </w:p>
    <w:p w14:paraId="5BE68FBD" w14:textId="65F9A586" w:rsidR="009F5237" w:rsidRPr="009F5237" w:rsidRDefault="009F5237" w:rsidP="009F5237">
      <w:pPr>
        <w:spacing w:after="120" w:line="360" w:lineRule="exact"/>
        <w:jc w:val="both"/>
        <w:rPr>
          <w:rFonts w:ascii="Times New Roman" w:hAnsi="Times New Roman"/>
          <w:sz w:val="24"/>
        </w:rPr>
      </w:pPr>
      <w:r w:rsidRPr="009F5237">
        <w:rPr>
          <w:rFonts w:ascii="Times New Roman" w:hAnsi="Times New Roman"/>
          <w:sz w:val="24"/>
        </w:rPr>
        <w:t>Figure 3.8 delineates the complete regional domain of the MCIP investigation (51.5°E-56.5°E, 22.5°N-26.0°N). A rigorous grid of 3,230 verified coastal coordinate points was established across this bounding region, spanning all major mangrove habitats in Abu Dhabi (Saadiyat, Jubail, Marawah), Dubai (Ras Al Khor), and Sharjah (Khor Kalba).</w:t>
      </w:r>
    </w:p>
    <w:p w14:paraId="37253754" w14:textId="77777777" w:rsidR="009F5237" w:rsidRPr="009F5237" w:rsidRDefault="009F5237" w:rsidP="009F5237">
      <w:pPr>
        <w:spacing w:after="120" w:line="360" w:lineRule="exact"/>
        <w:jc w:val="both"/>
        <w:rPr>
          <w:rFonts w:ascii="Times New Roman" w:hAnsi="Times New Roman"/>
          <w:sz w:val="24"/>
        </w:rPr>
      </w:pPr>
      <w:r w:rsidRPr="009F5237">
        <w:rPr>
          <w:rFonts w:ascii="Times New Roman" w:hAnsi="Times New Roman"/>
          <w:sz w:val="24"/>
        </w:rPr>
        <w:t>To extract 68 months of continuous imagery across these 3,230 coordinates without triggering Google Earth Engine (GEE) quota bans, a robust Synchronicity Gate was engineered in Python. The gate implemented exponential backoff retry algorithms, dynamic request batching, and automated cloud-cover masking using Sentinel-2 Scene Classification Layer (SCL) masks, successfully acquiring a pristine, gap-free spatio-temporal dataset.</w:t>
      </w:r>
    </w:p>
    <w:p w14:paraId="60BEADAA" w14:textId="29C85A0C" w:rsidR="00D42293" w:rsidRDefault="00D42293">
      <w:pPr>
        <w:spacing w:after="120" w:line="360" w:lineRule="exact"/>
        <w:jc w:val="both"/>
      </w:pPr>
    </w:p>
    <w:p w14:paraId="0E194208" w14:textId="77777777" w:rsidR="00D42293" w:rsidRDefault="00000000">
      <w:pPr>
        <w:keepNext/>
        <w:spacing w:before="280" w:after="120"/>
      </w:pPr>
      <w:r>
        <w:rPr>
          <w:rFonts w:ascii="Times New Roman" w:hAnsi="Times New Roman"/>
          <w:b/>
          <w:color w:val="005078"/>
          <w:sz w:val="26"/>
        </w:rPr>
        <w:t>3.4 Stage 1: Deep Artificial Neural Network Pixel Classification</w:t>
      </w:r>
    </w:p>
    <w:p w14:paraId="0F0102F3" w14:textId="797E5E6C" w:rsidR="00BF5D49" w:rsidRPr="00C14905" w:rsidRDefault="00BF5D49" w:rsidP="00BF5D49">
      <w:pPr>
        <w:spacing w:after="120" w:line="360" w:lineRule="exact"/>
        <w:jc w:val="both"/>
        <w:rPr>
          <w:rFonts w:ascii="Times New Roman" w:hAnsi="Times New Roman"/>
          <w:sz w:val="24"/>
          <w:lang w:val="en-IN"/>
        </w:rPr>
      </w:pPr>
      <w:r w:rsidRPr="00C14905">
        <w:rPr>
          <w:rFonts w:ascii="Times New Roman" w:hAnsi="Times New Roman"/>
          <w:sz w:val="24"/>
          <w:lang w:val="en-IN"/>
        </w:rPr>
        <w:t xml:space="preserve">With raw satellite bands ingested, Stage 1 will perform high precision mangrove pixel classification. Arid coastal remote sensing has extreme class imbalance: barren sand and open water pixels outnumber mangrove vegetation pixels by several orders of magnitude. </w:t>
      </w:r>
      <w:r w:rsidRPr="00C14905">
        <w:rPr>
          <w:rFonts w:ascii="Times New Roman" w:hAnsi="Times New Roman"/>
          <w:sz w:val="24"/>
          <w:lang w:val="en-IN"/>
        </w:rPr>
        <w:lastRenderedPageBreak/>
        <w:t>Training a neural network on the raw, unadjusted pixel distribution would suffer severe majority class bias, with the model achieving "deceptive" statistical accuracy by classifying all pixels as water/sand and misclassifying the rare, ecologically vital, mangrove canopies.</w:t>
      </w:r>
    </w:p>
    <w:p w14:paraId="34DAE863" w14:textId="77777777" w:rsidR="00BF5D49" w:rsidRPr="00BF5D49" w:rsidRDefault="00BF5D49" w:rsidP="00BF5D49">
      <w:pPr>
        <w:spacing w:after="120" w:line="360" w:lineRule="exact"/>
        <w:jc w:val="both"/>
        <w:rPr>
          <w:rFonts w:ascii="Times New Roman" w:hAnsi="Times New Roman"/>
          <w:sz w:val="24"/>
          <w:lang w:val="en-IN"/>
        </w:rPr>
      </w:pPr>
      <w:r w:rsidRPr="00BF5D49">
        <w:rPr>
          <w:rFonts w:ascii="Times New Roman" w:hAnsi="Times New Roman"/>
          <w:sz w:val="24"/>
          <w:lang w:val="en-IN"/>
        </w:rPr>
        <w:t>To address this critical class imbalance, we employed the RandomUnderSampler algorithm from the imbalanced-learn library. Figure 3.9 presents the class distribution before and after balancing across all five land-cover categories.</w:t>
      </w:r>
    </w:p>
    <w:p w14:paraId="7356D2BB" w14:textId="4D11FC13" w:rsidR="00D42293" w:rsidRDefault="00D42293">
      <w:pPr>
        <w:spacing w:after="120" w:line="360" w:lineRule="exact"/>
        <w:jc w:val="both"/>
      </w:pPr>
    </w:p>
    <w:p w14:paraId="64DF3CA7" w14:textId="77777777" w:rsidR="00D42293" w:rsidRDefault="00000000">
      <w:pPr>
        <w:spacing w:before="160" w:after="80"/>
        <w:jc w:val="center"/>
      </w:pPr>
      <w:r>
        <w:rPr>
          <w:noProof/>
        </w:rPr>
        <w:drawing>
          <wp:inline distT="0" distB="0" distL="0" distR="0" wp14:anchorId="60C131AD" wp14:editId="6E9BA3F2">
            <wp:extent cx="5303520" cy="31606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1_Class_Imablance_in_sentinal_2_data.png"/>
                    <pic:cNvPicPr/>
                  </pic:nvPicPr>
                  <pic:blipFill>
                    <a:blip r:embed="rId15"/>
                    <a:stretch>
                      <a:fillRect/>
                    </a:stretch>
                  </pic:blipFill>
                  <pic:spPr>
                    <a:xfrm>
                      <a:off x="0" y="0"/>
                      <a:ext cx="5303520" cy="3160684"/>
                    </a:xfrm>
                    <a:prstGeom prst="rect">
                      <a:avLst/>
                    </a:prstGeom>
                  </pic:spPr>
                </pic:pic>
              </a:graphicData>
            </a:graphic>
          </wp:inline>
        </w:drawing>
      </w:r>
    </w:p>
    <w:p w14:paraId="60F0A3A7" w14:textId="6BBB0ED5" w:rsidR="00BF5D49" w:rsidRPr="00BF5D49" w:rsidRDefault="00000000" w:rsidP="00BF5D49">
      <w:pPr>
        <w:spacing w:before="40" w:after="160"/>
        <w:jc w:val="center"/>
      </w:pPr>
      <w:r>
        <w:rPr>
          <w:rFonts w:ascii="Times New Roman" w:hAnsi="Times New Roman"/>
          <w:i/>
          <w:color w:val="505050"/>
          <w:sz w:val="20"/>
        </w:rPr>
        <w:t>Figure 3.9: Class distribution across five land cover categories before and after RandomUnderSampler balancing.</w:t>
      </w:r>
    </w:p>
    <w:p w14:paraId="6BDF2235" w14:textId="01968C82" w:rsidR="00BF5D49" w:rsidRPr="00BF5D49" w:rsidRDefault="00BF5D49" w:rsidP="00BF5D49">
      <w:pPr>
        <w:spacing w:after="120" w:line="360" w:lineRule="exact"/>
        <w:jc w:val="both"/>
        <w:rPr>
          <w:rFonts w:ascii="Times New Roman" w:hAnsi="Times New Roman"/>
          <w:sz w:val="24"/>
          <w:lang w:val="en-IN"/>
        </w:rPr>
      </w:pPr>
      <w:r w:rsidRPr="00BF5D49">
        <w:rPr>
          <w:rFonts w:ascii="Times New Roman" w:hAnsi="Times New Roman"/>
          <w:sz w:val="24"/>
          <w:lang w:val="en-IN"/>
        </w:rPr>
        <w:t>Figure 3.9 illustrates the rebalancing technique executed in STAGE_1.ipynb. In the raw dataset (blue bars), Sand and Water categories overwhelm the sample space with over 150,000 pixels, while Mangrove and Forest pixels represent a small fraction of the distribution. Fitting a classifier over this raw distribution would produce extreme bias against the mangrove class. By applying RandomUnderSampler (green bars), the majority classes were downsampled to achieve perfect class parity (equal sample sizes across Forest, Mangrove, Sand, Urban, and Water) to ensure that the neural network optimizes its loss function equally across all ecological domains.</w:t>
      </w:r>
    </w:p>
    <w:p w14:paraId="6A304CC4" w14:textId="77777777" w:rsidR="00BF5D49" w:rsidRPr="00BF5D49" w:rsidRDefault="00BF5D49" w:rsidP="00BF5D49">
      <w:pPr>
        <w:spacing w:after="120" w:line="360" w:lineRule="exact"/>
        <w:jc w:val="both"/>
        <w:rPr>
          <w:rFonts w:ascii="Times New Roman" w:hAnsi="Times New Roman"/>
          <w:sz w:val="24"/>
          <w:lang w:val="en-IN"/>
        </w:rPr>
      </w:pPr>
      <w:r w:rsidRPr="00BF5D49">
        <w:rPr>
          <w:rFonts w:ascii="Times New Roman" w:hAnsi="Times New Roman"/>
          <w:sz w:val="24"/>
          <w:lang w:val="en-IN"/>
        </w:rPr>
        <w:t xml:space="preserve">A deep feedforward Artificial Neural Network (ANN) classifier was designed in Keras/TensorFlow. The input layer accepts 27 multi-spectral and SAR features, followed by four dense hidden layers with decreasing dimensionalities (1024 → 512 → 256 → 128 </w:t>
      </w:r>
      <w:r w:rsidRPr="00BF5D49">
        <w:rPr>
          <w:rFonts w:ascii="Times New Roman" w:hAnsi="Times New Roman"/>
          <w:sz w:val="24"/>
          <w:lang w:val="en-IN"/>
        </w:rPr>
        <w:lastRenderedPageBreak/>
        <w:t>units), Batch Normalisation, Dropout regularization (0.3), and ReLU activation functions, terminating in a 5-unit Softmax output layer. The network was trained using the Adam optimizer with Categorical Crossentropy loss and EarlyStopping (patience = 10, monitoring validation loss, restoring best weights).</w:t>
      </w:r>
    </w:p>
    <w:p w14:paraId="0AC31975" w14:textId="59FDE706" w:rsidR="00D42293" w:rsidRDefault="00D42293">
      <w:pPr>
        <w:spacing w:after="120" w:line="360" w:lineRule="exact"/>
        <w:jc w:val="both"/>
      </w:pPr>
    </w:p>
    <w:p w14:paraId="79B46488" w14:textId="77777777" w:rsidR="00D42293" w:rsidRDefault="00000000">
      <w:pPr>
        <w:spacing w:before="160" w:after="80"/>
        <w:jc w:val="center"/>
      </w:pPr>
      <w:r>
        <w:rPr>
          <w:noProof/>
        </w:rPr>
        <w:drawing>
          <wp:inline distT="0" distB="0" distL="0" distR="0" wp14:anchorId="63ED5C8B" wp14:editId="2404346A">
            <wp:extent cx="5303520" cy="18695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1_Sentinel-2_classification_Accuracy_and_Loss.png"/>
                    <pic:cNvPicPr/>
                  </pic:nvPicPr>
                  <pic:blipFill>
                    <a:blip r:embed="rId16"/>
                    <a:stretch>
                      <a:fillRect/>
                    </a:stretch>
                  </pic:blipFill>
                  <pic:spPr>
                    <a:xfrm>
                      <a:off x="0" y="0"/>
                      <a:ext cx="5303520" cy="1869586"/>
                    </a:xfrm>
                    <a:prstGeom prst="rect">
                      <a:avLst/>
                    </a:prstGeom>
                  </pic:spPr>
                </pic:pic>
              </a:graphicData>
            </a:graphic>
          </wp:inline>
        </w:drawing>
      </w:r>
    </w:p>
    <w:p w14:paraId="4440667C" w14:textId="3931D7EB" w:rsidR="00BF5D49" w:rsidRPr="00BF5D49" w:rsidRDefault="00000000" w:rsidP="00BF5D49">
      <w:pPr>
        <w:spacing w:before="40" w:after="160"/>
        <w:jc w:val="center"/>
      </w:pPr>
      <w:r>
        <w:rPr>
          <w:rFonts w:ascii="Times New Roman" w:hAnsi="Times New Roman"/>
          <w:i/>
          <w:color w:val="505050"/>
          <w:sz w:val="20"/>
        </w:rPr>
        <w:t>Figure 3.10: Deep ANN pixel classification training history showing Categorical Crossentropy Loss and Accuracy curves.</w:t>
      </w:r>
    </w:p>
    <w:p w14:paraId="0C306633" w14:textId="6EC8DD50" w:rsidR="00BF5D49" w:rsidRPr="00BF5D49" w:rsidRDefault="00BF5D49" w:rsidP="00BF5D49">
      <w:pPr>
        <w:spacing w:after="120" w:line="360" w:lineRule="exact"/>
        <w:jc w:val="both"/>
        <w:rPr>
          <w:rFonts w:ascii="Times New Roman" w:hAnsi="Times New Roman"/>
          <w:sz w:val="24"/>
          <w:lang w:val="en-IN"/>
        </w:rPr>
      </w:pPr>
      <w:r w:rsidRPr="00BF5D49">
        <w:rPr>
          <w:rFonts w:ascii="Times New Roman" w:hAnsi="Times New Roman"/>
          <w:sz w:val="24"/>
          <w:lang w:val="en-IN"/>
        </w:rPr>
        <w:t>Figure 3.10 displays the training dynamics of the Stage 1 ANN classifier over 10 training epochs recorded in STAGE_1.ipynb. The left subplot shows that both Training Accuracy (blue line with circles) and Validation Accuracy (red line with squares) quickly converge, surpassing 0.985 in epoch 1 and achieving 0.9995 by epoch 6. The right subplot confirms that Categorical Crossentropy Loss smoothly decreases from 0.0474 to 0.0051 (training) and reaches an optimal validation loss of 0.00073 (7.36e-4) at epoch 6. The EarlyStopping callback restored the model weights from this best epoch to prevent overfitting.</w:t>
      </w:r>
    </w:p>
    <w:p w14:paraId="37CD5AEA" w14:textId="77777777" w:rsidR="00BF5D49" w:rsidRPr="00BF5D49" w:rsidRDefault="00BF5D49" w:rsidP="00BF5D49">
      <w:pPr>
        <w:spacing w:after="120" w:line="360" w:lineRule="exact"/>
        <w:jc w:val="both"/>
        <w:rPr>
          <w:rFonts w:ascii="Times New Roman" w:hAnsi="Times New Roman"/>
          <w:sz w:val="24"/>
          <w:lang w:val="en-IN"/>
        </w:rPr>
      </w:pPr>
      <w:r w:rsidRPr="00BF5D49">
        <w:rPr>
          <w:rFonts w:ascii="Times New Roman" w:hAnsi="Times New Roman"/>
          <w:sz w:val="24"/>
          <w:lang w:val="en-IN"/>
        </w:rPr>
        <w:t>To evaluate the trained classifier on unseen data, we computed a confusion matrix over the independent test partition, shown in Figure 3.11.</w:t>
      </w:r>
    </w:p>
    <w:p w14:paraId="75A88D4B" w14:textId="5C25992D" w:rsidR="00D42293" w:rsidRDefault="00D42293">
      <w:pPr>
        <w:spacing w:after="120" w:line="360" w:lineRule="exact"/>
        <w:jc w:val="both"/>
      </w:pPr>
    </w:p>
    <w:p w14:paraId="5E4165D0" w14:textId="77777777" w:rsidR="00D42293" w:rsidRDefault="00000000">
      <w:pPr>
        <w:spacing w:before="160" w:after="80"/>
        <w:jc w:val="center"/>
      </w:pPr>
      <w:r>
        <w:rPr>
          <w:noProof/>
        </w:rPr>
        <w:lastRenderedPageBreak/>
        <w:drawing>
          <wp:inline distT="0" distB="0" distL="0" distR="0" wp14:anchorId="505B79E8" wp14:editId="6060AA59">
            <wp:extent cx="5303520" cy="41610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1_Classifiaction_Confusion_Matrix.png"/>
                    <pic:cNvPicPr/>
                  </pic:nvPicPr>
                  <pic:blipFill>
                    <a:blip r:embed="rId17"/>
                    <a:stretch>
                      <a:fillRect/>
                    </a:stretch>
                  </pic:blipFill>
                  <pic:spPr>
                    <a:xfrm>
                      <a:off x="0" y="0"/>
                      <a:ext cx="5303520" cy="4161006"/>
                    </a:xfrm>
                    <a:prstGeom prst="rect">
                      <a:avLst/>
                    </a:prstGeom>
                  </pic:spPr>
                </pic:pic>
              </a:graphicData>
            </a:graphic>
          </wp:inline>
        </w:drawing>
      </w:r>
    </w:p>
    <w:p w14:paraId="0DEBC83D" w14:textId="77777777" w:rsidR="00D42293" w:rsidRDefault="00000000">
      <w:pPr>
        <w:spacing w:before="40" w:after="160"/>
        <w:jc w:val="center"/>
      </w:pPr>
      <w:r>
        <w:rPr>
          <w:rFonts w:ascii="Times New Roman" w:hAnsi="Times New Roman"/>
          <w:i/>
          <w:color w:val="505050"/>
          <w:sz w:val="20"/>
        </w:rPr>
        <w:t>Figure 3.11: Classification Confusion Matrix across Forest, Mangrove, Sand, Urban, and Water on the test set.</w:t>
      </w:r>
    </w:p>
    <w:p w14:paraId="500B088C" w14:textId="31B91FD4" w:rsidR="009379E2" w:rsidRPr="009379E2" w:rsidRDefault="009379E2" w:rsidP="009379E2">
      <w:pPr>
        <w:spacing w:after="120" w:line="360" w:lineRule="exact"/>
        <w:jc w:val="both"/>
        <w:rPr>
          <w:rFonts w:ascii="Times New Roman" w:hAnsi="Times New Roman"/>
          <w:sz w:val="24"/>
          <w:lang w:val="en-IN"/>
        </w:rPr>
      </w:pPr>
      <w:r w:rsidRPr="009379E2">
        <w:rPr>
          <w:rFonts w:ascii="Times New Roman" w:hAnsi="Times New Roman"/>
          <w:sz w:val="24"/>
          <w:lang w:val="en-IN"/>
        </w:rPr>
        <w:t>Figure 3.11 presents the test set confusion matrix generated in STAGE_1.ipynb Cell 24. The 5×5 matrix shows near-perfect classification fidelity across all five categories. The main diagonal contains essentially 100% of all test samples, with nearly zero off-diagonal confusion. Crucially, there is no misclassification of the Mangrove and Water classes, and no confusion of Mangrove and Urban structures, confirming that the combination of Sentinel-2 red-edge indices and Sentinel-1 radar backscatter cleanly isolates mangrove pixels from the surrounding marine and coastal environment.</w:t>
      </w:r>
    </w:p>
    <w:p w14:paraId="5253BF8B" w14:textId="77777777" w:rsidR="009379E2" w:rsidRPr="009379E2" w:rsidRDefault="009379E2" w:rsidP="009379E2">
      <w:pPr>
        <w:spacing w:after="120" w:line="360" w:lineRule="exact"/>
        <w:jc w:val="both"/>
        <w:rPr>
          <w:rFonts w:ascii="Times New Roman" w:hAnsi="Times New Roman"/>
          <w:sz w:val="24"/>
          <w:lang w:val="en-IN"/>
        </w:rPr>
      </w:pPr>
      <w:r w:rsidRPr="009379E2">
        <w:rPr>
          <w:rFonts w:ascii="Times New Roman" w:hAnsi="Times New Roman"/>
          <w:sz w:val="24"/>
          <w:lang w:val="en-IN"/>
        </w:rPr>
        <w:t>Applying this validated classifier across the 68-month UAE coastal grid produced the definitive spatial binary mask of verified mangrove pixels, plotted in Figure 3.12.</w:t>
      </w:r>
    </w:p>
    <w:p w14:paraId="68E040B8" w14:textId="71E82BC8" w:rsidR="00D42293" w:rsidRDefault="00D42293">
      <w:pPr>
        <w:spacing w:after="120" w:line="360" w:lineRule="exact"/>
        <w:jc w:val="both"/>
      </w:pPr>
    </w:p>
    <w:p w14:paraId="7E1FD3DE" w14:textId="77777777" w:rsidR="00D42293" w:rsidRDefault="00000000">
      <w:pPr>
        <w:spacing w:before="160" w:after="80"/>
        <w:jc w:val="center"/>
      </w:pPr>
      <w:r>
        <w:rPr>
          <w:noProof/>
        </w:rPr>
        <w:lastRenderedPageBreak/>
        <w:drawing>
          <wp:inline distT="0" distB="0" distL="0" distR="0" wp14:anchorId="7773F5D7" wp14:editId="36AB2D52">
            <wp:extent cx="5303520" cy="31459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1_Mangrove_Pixels_Predicted.png"/>
                    <pic:cNvPicPr/>
                  </pic:nvPicPr>
                  <pic:blipFill>
                    <a:blip r:embed="rId18"/>
                    <a:stretch>
                      <a:fillRect/>
                    </a:stretch>
                  </pic:blipFill>
                  <pic:spPr>
                    <a:xfrm>
                      <a:off x="0" y="0"/>
                      <a:ext cx="5303520" cy="3145937"/>
                    </a:xfrm>
                    <a:prstGeom prst="rect">
                      <a:avLst/>
                    </a:prstGeom>
                  </pic:spPr>
                </pic:pic>
              </a:graphicData>
            </a:graphic>
          </wp:inline>
        </w:drawing>
      </w:r>
    </w:p>
    <w:p w14:paraId="260FE39C" w14:textId="77777777" w:rsidR="00D42293" w:rsidRDefault="00000000">
      <w:pPr>
        <w:spacing w:before="40" w:after="160"/>
        <w:jc w:val="center"/>
      </w:pPr>
      <w:r>
        <w:rPr>
          <w:rFonts w:ascii="Times New Roman" w:hAnsi="Times New Roman"/>
          <w:i/>
          <w:color w:val="505050"/>
          <w:sz w:val="20"/>
        </w:rPr>
        <w:t>Figure 3.12: Spatial distribution of verified mangrove pixels classified across the UAE coastal coordinates.</w:t>
      </w:r>
    </w:p>
    <w:p w14:paraId="4A9BAA2B" w14:textId="10BECFE0" w:rsidR="00D42293" w:rsidRDefault="009379E2">
      <w:pPr>
        <w:spacing w:after="120" w:line="360" w:lineRule="exact"/>
        <w:jc w:val="both"/>
      </w:pPr>
      <w:r w:rsidRPr="009379E2">
        <w:rPr>
          <w:rFonts w:ascii="Times New Roman" w:hAnsi="Times New Roman"/>
          <w:sz w:val="24"/>
        </w:rPr>
        <w:t>Figure 3.12 visualises the spatial footprint of all predicted mangrove pixels across the Arabian Gulf coastline. The geographic distribution aligns exactly with protected national reserves: dense clusters in the lagoons of Abu Dhabi, localized pockets in Dubai's Ras Al Khor sanctuary, and flourishing stands in Umm Al Quwain and Khor Kalba. This binary pixel mask serves as the definitive spatial substrate for all subsequent biomass, carbon sequestration, and graph modeling.</w:t>
      </w:r>
    </w:p>
    <w:p w14:paraId="50DC0CEF" w14:textId="77777777" w:rsidR="00D42293" w:rsidRDefault="00000000">
      <w:pPr>
        <w:keepNext/>
        <w:spacing w:before="280" w:after="120"/>
      </w:pPr>
      <w:r>
        <w:rPr>
          <w:rFonts w:ascii="Times New Roman" w:hAnsi="Times New Roman"/>
          <w:b/>
          <w:color w:val="005078"/>
          <w:sz w:val="26"/>
        </w:rPr>
        <w:t>3.5 Stage 2 &amp; 3: NASA GEDI Neural Imputation via Transfer Learning</w:t>
      </w:r>
    </w:p>
    <w:p w14:paraId="29A1D65F" w14:textId="6A57E95A" w:rsidR="005F3C8D" w:rsidRPr="005F3C8D" w:rsidRDefault="005F3C8D" w:rsidP="005F3C8D">
      <w:pPr>
        <w:spacing w:after="120" w:line="360" w:lineRule="exact"/>
        <w:jc w:val="both"/>
        <w:rPr>
          <w:rFonts w:ascii="Times New Roman" w:hAnsi="Times New Roman"/>
          <w:sz w:val="24"/>
          <w:lang w:val="en-IN"/>
        </w:rPr>
      </w:pPr>
      <w:r w:rsidRPr="005F3C8D">
        <w:rPr>
          <w:rFonts w:ascii="Times New Roman" w:hAnsi="Times New Roman"/>
          <w:sz w:val="24"/>
          <w:lang w:val="en-IN"/>
        </w:rPr>
        <w:t>Having isolated pure mangrove pixels, Stage 2 and 3 resolve the 3D structural biomass bottleneck. While Sentinel satellites provide 2D multispectral reflectance, estimating above-ground biomass requires 3D canopy geometry. NASA's GEDI LiDAR provides spaceborne canopy height profiles, but its orbital return interval over the UAE is severely intermittent, resulting in missing structural data across most coastal patches.</w:t>
      </w:r>
    </w:p>
    <w:p w14:paraId="40A9C6F0" w14:textId="77777777" w:rsidR="005F3C8D" w:rsidRPr="005F3C8D" w:rsidRDefault="005F3C8D" w:rsidP="005F3C8D">
      <w:pPr>
        <w:spacing w:after="120" w:line="360" w:lineRule="exact"/>
        <w:jc w:val="both"/>
        <w:rPr>
          <w:rFonts w:ascii="Times New Roman" w:hAnsi="Times New Roman"/>
          <w:sz w:val="24"/>
          <w:lang w:val="en-IN"/>
        </w:rPr>
      </w:pPr>
      <w:r w:rsidRPr="005F3C8D">
        <w:rPr>
          <w:rFonts w:ascii="Times New Roman" w:hAnsi="Times New Roman"/>
          <w:sz w:val="24"/>
          <w:lang w:val="en-IN"/>
        </w:rPr>
        <w:t>To establish the mathematical basis for neural imputation, we performed a feature correlation analysis between Sentinel spectral indices and GEDI structural metrics, illustrated in Figure 3.13.</w:t>
      </w:r>
    </w:p>
    <w:p w14:paraId="1DA8574A" w14:textId="4C41C984" w:rsidR="00D42293" w:rsidRDefault="00D42293">
      <w:pPr>
        <w:spacing w:after="120" w:line="360" w:lineRule="exact"/>
        <w:jc w:val="both"/>
      </w:pPr>
    </w:p>
    <w:p w14:paraId="5E297D7C" w14:textId="77777777" w:rsidR="00D42293" w:rsidRDefault="00000000">
      <w:pPr>
        <w:spacing w:before="160" w:after="80"/>
        <w:jc w:val="center"/>
      </w:pPr>
      <w:r>
        <w:rPr>
          <w:noProof/>
        </w:rPr>
        <w:lastRenderedPageBreak/>
        <w:drawing>
          <wp:inline distT="0" distB="0" distL="0" distR="0" wp14:anchorId="5FF67223" wp14:editId="0C859045">
            <wp:extent cx="5303520" cy="44762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3_Correlation_Map.png"/>
                    <pic:cNvPicPr/>
                  </pic:nvPicPr>
                  <pic:blipFill>
                    <a:blip r:embed="rId19"/>
                    <a:stretch>
                      <a:fillRect/>
                    </a:stretch>
                  </pic:blipFill>
                  <pic:spPr>
                    <a:xfrm>
                      <a:off x="0" y="0"/>
                      <a:ext cx="5303520" cy="4476262"/>
                    </a:xfrm>
                    <a:prstGeom prst="rect">
                      <a:avLst/>
                    </a:prstGeom>
                  </pic:spPr>
                </pic:pic>
              </a:graphicData>
            </a:graphic>
          </wp:inline>
        </w:drawing>
      </w:r>
    </w:p>
    <w:p w14:paraId="745F3EE6" w14:textId="5725D4B7" w:rsidR="00037B38" w:rsidRPr="00037B38" w:rsidRDefault="00000000" w:rsidP="00037B38">
      <w:pPr>
        <w:spacing w:before="40" w:after="160"/>
        <w:jc w:val="center"/>
      </w:pPr>
      <w:r>
        <w:rPr>
          <w:rFonts w:ascii="Times New Roman" w:hAnsi="Times New Roman"/>
          <w:i/>
          <w:color w:val="505050"/>
          <w:sz w:val="20"/>
        </w:rPr>
        <w:t>Figure 3.13: Multispectral, radar backscatter, and LiDAR feature correlation matrix across coastal indicators.</w:t>
      </w:r>
    </w:p>
    <w:p w14:paraId="626DE9DF" w14:textId="012B5BDA" w:rsidR="00037B38" w:rsidRPr="00037B38" w:rsidRDefault="00037B38" w:rsidP="00037B38">
      <w:pPr>
        <w:spacing w:after="120" w:line="360" w:lineRule="exact"/>
        <w:jc w:val="both"/>
        <w:rPr>
          <w:rFonts w:ascii="Times New Roman" w:hAnsi="Times New Roman"/>
          <w:sz w:val="24"/>
          <w:lang w:val="en-IN"/>
        </w:rPr>
      </w:pPr>
      <w:r w:rsidRPr="00037B38">
        <w:rPr>
          <w:rFonts w:ascii="Times New Roman" w:hAnsi="Times New Roman"/>
          <w:sz w:val="24"/>
          <w:lang w:val="en-IN"/>
        </w:rPr>
        <w:t>Figure 3.13 displays the true correlation matrix computed in STAGE_3.ipynb Cell 53 across key remote sensing indicators: NDVI, Sentinel-1 VV and VH backscatter, VV coherence, GEDI canopy height (rh100), Fractional Canopy Cover (FCOVER), GEDI Above-Ground Biomass, and elemental carbon stock (MgC/ha). The heatmap shows strong positive correlations between Sentinel-1 VH volumetric backscatter and GEDI biomass (r &gt; 0.72), and between optical NDVI and canopy cover (r &gt; 0.68). This high degree of mutual information validates the hypothesis that multispectral and radar features contain predictive signal to impute missing GEDI structural parameters.</w:t>
      </w:r>
    </w:p>
    <w:p w14:paraId="2DB1FDC8" w14:textId="662E591D" w:rsidR="00037B38" w:rsidRPr="00037B38" w:rsidRDefault="00037B38" w:rsidP="00037B38">
      <w:pPr>
        <w:spacing w:after="120" w:line="360" w:lineRule="exact"/>
        <w:jc w:val="both"/>
        <w:rPr>
          <w:rFonts w:ascii="Times New Roman" w:hAnsi="Times New Roman"/>
          <w:sz w:val="24"/>
          <w:lang w:val="en-IN"/>
        </w:rPr>
      </w:pPr>
      <w:r w:rsidRPr="00037B38">
        <w:rPr>
          <w:rFonts w:ascii="Times New Roman" w:hAnsi="Times New Roman"/>
          <w:sz w:val="24"/>
          <w:lang w:val="en-IN"/>
        </w:rPr>
        <w:t>To implement transfer learning, a deep feed</w:t>
      </w:r>
      <w:r w:rsidR="004D0FE8">
        <w:rPr>
          <w:rFonts w:ascii="Times New Roman" w:hAnsi="Times New Roman"/>
          <w:sz w:val="24"/>
          <w:lang w:val="en-IN"/>
        </w:rPr>
        <w:t xml:space="preserve"> </w:t>
      </w:r>
      <w:r w:rsidRPr="00037B38">
        <w:rPr>
          <w:rFonts w:ascii="Times New Roman" w:hAnsi="Times New Roman"/>
          <w:sz w:val="24"/>
          <w:lang w:val="en-IN"/>
        </w:rPr>
        <w:t xml:space="preserve">forward neural network was pre-trained on the dense Sundarbans dataset (Figure 3.7) to learn generalized biophysical mappings from 27 Sentinel features to GEDI structural parameters. Eight independent neural models were trained, one for each target variable: Maximum Canopy Height (rh100), 98th Percentile Height (rh98), 92nd Percentile Height (rh92), Ground Elevation, Plant Area Index (PAI), Foliage Height Diversity (FHD), Fractional Canopy Cover (FCOVER), and Above-Ground </w:t>
      </w:r>
      <w:r w:rsidRPr="00037B38">
        <w:rPr>
          <w:rFonts w:ascii="Times New Roman" w:hAnsi="Times New Roman"/>
          <w:sz w:val="24"/>
          <w:lang w:val="en-IN"/>
        </w:rPr>
        <w:lastRenderedPageBreak/>
        <w:t>Biomass (Mg/ha). Each model was then fine-tuned on the sparse GEDI observations available for the UAE coast. Figure 3.14 illustrates the training and validation convergence curves across all eight variables.</w:t>
      </w:r>
    </w:p>
    <w:p w14:paraId="04FCF7C4" w14:textId="2061BF78" w:rsidR="00D42293" w:rsidRDefault="00D42293">
      <w:pPr>
        <w:spacing w:after="120" w:line="360" w:lineRule="exact"/>
        <w:jc w:val="both"/>
      </w:pPr>
    </w:p>
    <w:p w14:paraId="77B9D791" w14:textId="77777777" w:rsidR="00D42293" w:rsidRDefault="00000000">
      <w:pPr>
        <w:spacing w:before="160" w:after="80"/>
        <w:jc w:val="center"/>
      </w:pPr>
      <w:r>
        <w:rPr>
          <w:noProof/>
        </w:rPr>
        <w:drawing>
          <wp:inline distT="0" distB="0" distL="0" distR="0" wp14:anchorId="7AFC5B96" wp14:editId="3E52965C">
            <wp:extent cx="5303520" cy="63542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3_All_GEDI_Imputation_Model_Evaluation.png"/>
                    <pic:cNvPicPr/>
                  </pic:nvPicPr>
                  <pic:blipFill>
                    <a:blip r:embed="rId20"/>
                    <a:stretch>
                      <a:fillRect/>
                    </a:stretch>
                  </pic:blipFill>
                  <pic:spPr>
                    <a:xfrm>
                      <a:off x="0" y="0"/>
                      <a:ext cx="5303520" cy="6354217"/>
                    </a:xfrm>
                    <a:prstGeom prst="rect">
                      <a:avLst/>
                    </a:prstGeom>
                  </pic:spPr>
                </pic:pic>
              </a:graphicData>
            </a:graphic>
          </wp:inline>
        </w:drawing>
      </w:r>
    </w:p>
    <w:p w14:paraId="2F8FCCD0" w14:textId="77777777" w:rsidR="00D42293" w:rsidRDefault="00000000">
      <w:pPr>
        <w:spacing w:before="40" w:after="160"/>
        <w:jc w:val="center"/>
      </w:pPr>
      <w:r>
        <w:rPr>
          <w:rFonts w:ascii="Times New Roman" w:hAnsi="Times New Roman"/>
          <w:i/>
          <w:color w:val="505050"/>
          <w:sz w:val="20"/>
        </w:rPr>
        <w:t>Figure 3.14: Neural imputation training and validation convergence curves across all eight NASA GEDI structural parameters.</w:t>
      </w:r>
    </w:p>
    <w:p w14:paraId="3AB11A36" w14:textId="742018B8" w:rsidR="00D42293" w:rsidRDefault="00037B38">
      <w:pPr>
        <w:spacing w:after="120" w:line="360" w:lineRule="exact"/>
        <w:jc w:val="both"/>
      </w:pPr>
      <w:r w:rsidRPr="00037B38">
        <w:rPr>
          <w:rFonts w:ascii="Times New Roman" w:hAnsi="Times New Roman"/>
          <w:sz w:val="24"/>
        </w:rPr>
        <w:lastRenderedPageBreak/>
        <w:t>Figure 3.14 presents the 4×2 grid of training and validation loss curves (MSE) across all eight GEDI imputation models generated in STAGE_3.ipynb Cell 52. Across all eight structural parameters - including Canopy Height rh100 (top-left), Plant Area Index (PAI), Foliage Height Diversity (FHD), Biomass (bottom-right) - both training loss (blue line) and validation loss (red line) converge stably within 30 epochs. Maximum canopy height (rh100) achieved an optimal validation MSE of around 9.81, representing an error of less than 3.1 meters in canopy height estimation. Post-processing physical constraints were enforced: FCOVER was strictly clipped to [0, 1], while PAI, canopy height, and biomass were bounded to non-negative domains, producing a full 35-dimensional feature vector per coordinate per month.</w:t>
      </w:r>
    </w:p>
    <w:p w14:paraId="37474A82" w14:textId="77777777" w:rsidR="00D42293" w:rsidRDefault="00000000">
      <w:pPr>
        <w:keepNext/>
        <w:spacing w:before="280" w:after="120"/>
      </w:pPr>
      <w:r>
        <w:rPr>
          <w:rFonts w:ascii="Times New Roman" w:hAnsi="Times New Roman"/>
          <w:b/>
          <w:color w:val="005078"/>
          <w:sz w:val="26"/>
        </w:rPr>
        <w:t>3.6 Stage 3: DBSCAN Clustering &amp; Spatio-Temporal Graph Modeling</w:t>
      </w:r>
    </w:p>
    <w:p w14:paraId="45021C3E" w14:textId="3B694EC8" w:rsidR="00D42293" w:rsidRDefault="00037B38">
      <w:pPr>
        <w:spacing w:after="120" w:line="360" w:lineRule="exact"/>
        <w:jc w:val="both"/>
      </w:pPr>
      <w:r w:rsidRPr="00037B38">
        <w:rPr>
          <w:rFonts w:ascii="Times New Roman" w:hAnsi="Times New Roman"/>
          <w:sz w:val="24"/>
        </w:rPr>
        <w:t>Individual 10-meter pixels do not compose independent ecological units. Mangrove forests exist as contiguous stands governed by local geomorphology and tidal flows. To transition from pixel-level data to ecologically meaningful entities, DBSCAN was used to group the 3,230 verified coordinates into 53 distinct ecological patches (nodes), discarding noisy isolated pixels, displayed in Figure 3.15.</w:t>
      </w:r>
    </w:p>
    <w:p w14:paraId="7D024725" w14:textId="77777777" w:rsidR="00D42293" w:rsidRDefault="00000000">
      <w:pPr>
        <w:spacing w:before="160" w:after="80"/>
        <w:jc w:val="center"/>
      </w:pPr>
      <w:r>
        <w:rPr>
          <w:noProof/>
        </w:rPr>
        <w:drawing>
          <wp:inline distT="0" distB="0" distL="0" distR="0" wp14:anchorId="015F0D7C" wp14:editId="3694FB28">
            <wp:extent cx="5303520" cy="31614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3_Mangrove_Patches_By_DBSCAN.png"/>
                    <pic:cNvPicPr/>
                  </pic:nvPicPr>
                  <pic:blipFill>
                    <a:blip r:embed="rId21"/>
                    <a:stretch>
                      <a:fillRect/>
                    </a:stretch>
                  </pic:blipFill>
                  <pic:spPr>
                    <a:xfrm>
                      <a:off x="0" y="0"/>
                      <a:ext cx="5303520" cy="3161465"/>
                    </a:xfrm>
                    <a:prstGeom prst="rect">
                      <a:avLst/>
                    </a:prstGeom>
                  </pic:spPr>
                </pic:pic>
              </a:graphicData>
            </a:graphic>
          </wp:inline>
        </w:drawing>
      </w:r>
    </w:p>
    <w:p w14:paraId="5B70415D" w14:textId="77777777" w:rsidR="00D42293" w:rsidRDefault="00000000">
      <w:pPr>
        <w:spacing w:before="40" w:after="160"/>
        <w:jc w:val="center"/>
      </w:pPr>
      <w:r>
        <w:rPr>
          <w:rFonts w:ascii="Times New Roman" w:hAnsi="Times New Roman"/>
          <w:i/>
          <w:color w:val="505050"/>
          <w:sz w:val="20"/>
        </w:rPr>
        <w:t>Figure 3.15: DBSCAN spatial clustering output delineating 53 ecologically coherent mangrove patches.</w:t>
      </w:r>
    </w:p>
    <w:p w14:paraId="08369A4C" w14:textId="25EBD1B2"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 xml:space="preserve">Figure 3.15 illustrates the spatial clustering output produced in STAGE_3.ipynb Cell 61–66. Each color represents a distinct, ecologically coherent mangrove patch discovered by DBSCAN based on spatial density. Using convex hull algorithms, precise geographic </w:t>
      </w:r>
      <w:r w:rsidRPr="001251D7">
        <w:rPr>
          <w:rFonts w:ascii="Times New Roman" w:hAnsi="Times New Roman"/>
          <w:sz w:val="24"/>
          <w:lang w:val="en-IN"/>
        </w:rPr>
        <w:lastRenderedPageBreak/>
        <w:t>polygon boundaries were derived for all 53 patches, allowing monthly aggregation of mean NDVI, mean canopy height, and total carbon stock per patch.</w:t>
      </w:r>
    </w:p>
    <w:p w14:paraId="31CA0604" w14:textId="77777777"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The defining scientific innovation of MCIP is representing the coastal ecosystem as a directed topological graph G = (V, E). The 53 DBSCAN patches form the graph nodes V. Directed edges E are constructed based on hydrodynamic flow, geographic proximity, and sedimental tidal vectors, as defined in Table 3.2.</w:t>
      </w:r>
    </w:p>
    <w:p w14:paraId="1900CC5A" w14:textId="2E5587F8" w:rsidR="00D42293" w:rsidRDefault="00D42293">
      <w:pPr>
        <w:spacing w:after="120" w:line="360" w:lineRule="exact"/>
        <w:jc w:val="both"/>
      </w:pPr>
    </w:p>
    <w:p w14:paraId="4EAC4547" w14:textId="77777777" w:rsidR="00D42293" w:rsidRDefault="00000000">
      <w:pPr>
        <w:spacing w:before="200" w:after="80"/>
      </w:pPr>
      <w:r>
        <w:rPr>
          <w:rFonts w:ascii="Times New Roman" w:hAnsi="Times New Roman"/>
          <w:b/>
          <w:color w:val="1E1E1E"/>
        </w:rPr>
        <w:t>Table 3.2: Graph Edge Classification, Hydrological Basis, and Directional Weighting Mechanics.</w:t>
      </w:r>
    </w:p>
    <w:tbl>
      <w:tblPr>
        <w:tblStyle w:val="TableGrid"/>
        <w:tblW w:w="0" w:type="auto"/>
        <w:jc w:val="center"/>
        <w:tblLook w:val="04A0" w:firstRow="1" w:lastRow="0" w:firstColumn="1" w:lastColumn="0" w:noHBand="0" w:noVBand="1"/>
      </w:tblPr>
      <w:tblGrid>
        <w:gridCol w:w="1928"/>
        <w:gridCol w:w="2326"/>
        <w:gridCol w:w="3106"/>
        <w:gridCol w:w="1856"/>
      </w:tblGrid>
      <w:tr w:rsidR="00D42293" w14:paraId="27F6BE59" w14:textId="77777777">
        <w:trPr>
          <w:jc w:val="center"/>
        </w:trPr>
        <w:tc>
          <w:tcPr>
            <w:tcW w:w="2160" w:type="dxa"/>
            <w:shd w:val="clear" w:color="auto" w:fill="E6ECF2"/>
          </w:tcPr>
          <w:p w14:paraId="41EA918E" w14:textId="77777777" w:rsidR="00D42293" w:rsidRDefault="00000000">
            <w:pPr>
              <w:jc w:val="center"/>
            </w:pPr>
            <w:r>
              <w:rPr>
                <w:rFonts w:ascii="Times New Roman" w:hAnsi="Times New Roman"/>
                <w:b/>
                <w:color w:val="003366"/>
                <w:sz w:val="20"/>
              </w:rPr>
              <w:t>Edge Type</w:t>
            </w:r>
          </w:p>
        </w:tc>
        <w:tc>
          <w:tcPr>
            <w:tcW w:w="2592" w:type="dxa"/>
            <w:shd w:val="clear" w:color="auto" w:fill="E6ECF2"/>
          </w:tcPr>
          <w:p w14:paraId="5EDEC97A" w14:textId="77777777" w:rsidR="00D42293" w:rsidRDefault="00000000">
            <w:pPr>
              <w:jc w:val="center"/>
            </w:pPr>
            <w:r>
              <w:rPr>
                <w:rFonts w:ascii="Times New Roman" w:hAnsi="Times New Roman"/>
                <w:b/>
                <w:color w:val="003366"/>
                <w:sz w:val="20"/>
              </w:rPr>
              <w:t>Directionality</w:t>
            </w:r>
          </w:p>
        </w:tc>
        <w:tc>
          <w:tcPr>
            <w:tcW w:w="3600" w:type="dxa"/>
            <w:shd w:val="clear" w:color="auto" w:fill="E6ECF2"/>
          </w:tcPr>
          <w:p w14:paraId="23E445CF" w14:textId="77777777" w:rsidR="00D42293" w:rsidRDefault="00000000">
            <w:pPr>
              <w:jc w:val="center"/>
            </w:pPr>
            <w:r>
              <w:rPr>
                <w:rFonts w:ascii="Times New Roman" w:hAnsi="Times New Roman"/>
                <w:b/>
                <w:color w:val="003366"/>
                <w:sz w:val="20"/>
              </w:rPr>
              <w:t>Hydrological Basis</w:t>
            </w:r>
          </w:p>
        </w:tc>
        <w:tc>
          <w:tcPr>
            <w:tcW w:w="2016" w:type="dxa"/>
            <w:shd w:val="clear" w:color="auto" w:fill="E6ECF2"/>
          </w:tcPr>
          <w:p w14:paraId="0756CCAD" w14:textId="77777777" w:rsidR="00D42293" w:rsidRDefault="00000000">
            <w:pPr>
              <w:jc w:val="center"/>
            </w:pPr>
            <w:r>
              <w:rPr>
                <w:rFonts w:ascii="Times New Roman" w:hAnsi="Times New Roman"/>
                <w:b/>
                <w:color w:val="003366"/>
                <w:sz w:val="20"/>
              </w:rPr>
              <w:t>Edge Weight in ST-GNN</w:t>
            </w:r>
          </w:p>
        </w:tc>
      </w:tr>
      <w:tr w:rsidR="00D42293" w14:paraId="45485052" w14:textId="77777777">
        <w:trPr>
          <w:jc w:val="center"/>
        </w:trPr>
        <w:tc>
          <w:tcPr>
            <w:tcW w:w="2160" w:type="dxa"/>
          </w:tcPr>
          <w:p w14:paraId="3FF12A55" w14:textId="77777777" w:rsidR="00D42293" w:rsidRDefault="00000000">
            <w:r>
              <w:rPr>
                <w:rFonts w:ascii="Times New Roman" w:hAnsi="Times New Roman"/>
                <w:sz w:val="20"/>
              </w:rPr>
              <w:t>Sedimental Edge</w:t>
            </w:r>
          </w:p>
        </w:tc>
        <w:tc>
          <w:tcPr>
            <w:tcW w:w="2592" w:type="dxa"/>
          </w:tcPr>
          <w:p w14:paraId="21F1DC18" w14:textId="77777777" w:rsidR="00D42293" w:rsidRDefault="00000000">
            <w:r>
              <w:rPr>
                <w:rFonts w:ascii="Times New Roman" w:hAnsi="Times New Roman"/>
                <w:sz w:val="20"/>
              </w:rPr>
              <w:t>Directed (Seaward → Shoreward)</w:t>
            </w:r>
          </w:p>
        </w:tc>
        <w:tc>
          <w:tcPr>
            <w:tcW w:w="3600" w:type="dxa"/>
          </w:tcPr>
          <w:p w14:paraId="569536B2" w14:textId="77777777" w:rsidR="00D42293" w:rsidRDefault="00000000">
            <w:r>
              <w:rPr>
                <w:rFonts w:ascii="Times New Roman" w:hAnsi="Times New Roman"/>
                <w:sz w:val="20"/>
              </w:rPr>
              <w:t>Models sediment transport and allochthonous carbon deposition along major tidal inlets.</w:t>
            </w:r>
          </w:p>
        </w:tc>
        <w:tc>
          <w:tcPr>
            <w:tcW w:w="2016" w:type="dxa"/>
          </w:tcPr>
          <w:p w14:paraId="35602A6C" w14:textId="77777777" w:rsidR="00D42293" w:rsidRDefault="00000000">
            <w:r>
              <w:rPr>
                <w:rFonts w:ascii="Times New Roman" w:hAnsi="Times New Roman"/>
                <w:sz w:val="20"/>
              </w:rPr>
              <w:t>Weight = 1.0 (Full coupling)</w:t>
            </w:r>
          </w:p>
        </w:tc>
      </w:tr>
      <w:tr w:rsidR="00D42293" w14:paraId="41BE2D58" w14:textId="77777777">
        <w:trPr>
          <w:jc w:val="center"/>
        </w:trPr>
        <w:tc>
          <w:tcPr>
            <w:tcW w:w="2160" w:type="dxa"/>
          </w:tcPr>
          <w:p w14:paraId="023E2087" w14:textId="77777777" w:rsidR="00D42293" w:rsidRDefault="00000000">
            <w:pPr>
              <w:jc w:val="center"/>
            </w:pPr>
            <w:r>
              <w:rPr>
                <w:rFonts w:ascii="Times New Roman" w:hAnsi="Times New Roman"/>
                <w:sz w:val="20"/>
              </w:rPr>
              <w:t>Tidal Edge</w:t>
            </w:r>
          </w:p>
        </w:tc>
        <w:tc>
          <w:tcPr>
            <w:tcW w:w="2592" w:type="dxa"/>
          </w:tcPr>
          <w:p w14:paraId="24727A24" w14:textId="77777777" w:rsidR="00D42293" w:rsidRDefault="00000000">
            <w:r>
              <w:rPr>
                <w:rFonts w:ascii="Times New Roman" w:hAnsi="Times New Roman"/>
                <w:sz w:val="20"/>
              </w:rPr>
              <w:t>Directed (Inter-Patch Inflow)</w:t>
            </w:r>
          </w:p>
        </w:tc>
        <w:tc>
          <w:tcPr>
            <w:tcW w:w="3600" w:type="dxa"/>
          </w:tcPr>
          <w:p w14:paraId="56C4792B" w14:textId="77777777" w:rsidR="00D42293" w:rsidRDefault="00000000">
            <w:r>
              <w:rPr>
                <w:rFonts w:ascii="Times New Roman" w:hAnsi="Times New Roman"/>
                <w:sz w:val="20"/>
              </w:rPr>
              <w:t>Represents inter-tidal nutrient exchange and shared hydrodynamic flushing during spring tides.</w:t>
            </w:r>
          </w:p>
        </w:tc>
        <w:tc>
          <w:tcPr>
            <w:tcW w:w="2016" w:type="dxa"/>
          </w:tcPr>
          <w:p w14:paraId="4A69390B" w14:textId="77777777" w:rsidR="00D42293" w:rsidRDefault="00000000">
            <w:r>
              <w:rPr>
                <w:rFonts w:ascii="Times New Roman" w:hAnsi="Times New Roman"/>
                <w:sz w:val="20"/>
              </w:rPr>
              <w:t>Weight = 0.5 (Intermediate coupling)</w:t>
            </w:r>
          </w:p>
        </w:tc>
      </w:tr>
      <w:tr w:rsidR="00D42293" w14:paraId="60C1E47A" w14:textId="77777777">
        <w:trPr>
          <w:jc w:val="center"/>
        </w:trPr>
        <w:tc>
          <w:tcPr>
            <w:tcW w:w="2160" w:type="dxa"/>
          </w:tcPr>
          <w:p w14:paraId="37DE5459" w14:textId="77777777" w:rsidR="00D42293" w:rsidRDefault="00000000">
            <w:pPr>
              <w:jc w:val="center"/>
            </w:pPr>
            <w:r>
              <w:rPr>
                <w:rFonts w:ascii="Times New Roman" w:hAnsi="Times New Roman"/>
                <w:sz w:val="20"/>
              </w:rPr>
              <w:t>Proximity Edge</w:t>
            </w:r>
          </w:p>
        </w:tc>
        <w:tc>
          <w:tcPr>
            <w:tcW w:w="2592" w:type="dxa"/>
          </w:tcPr>
          <w:p w14:paraId="6756A9D4" w14:textId="77777777" w:rsidR="00D42293" w:rsidRDefault="00000000">
            <w:r>
              <w:rPr>
                <w:rFonts w:ascii="Times New Roman" w:hAnsi="Times New Roman"/>
                <w:sz w:val="20"/>
              </w:rPr>
              <w:t>Undirected (Euclidean &lt; 2.5 km)</w:t>
            </w:r>
          </w:p>
        </w:tc>
        <w:tc>
          <w:tcPr>
            <w:tcW w:w="3600" w:type="dxa"/>
          </w:tcPr>
          <w:p w14:paraId="02BE1F82" w14:textId="77777777" w:rsidR="00D42293" w:rsidRDefault="00000000">
            <w:r>
              <w:rPr>
                <w:rFonts w:ascii="Times New Roman" w:hAnsi="Times New Roman"/>
                <w:sz w:val="20"/>
              </w:rPr>
              <w:t>Encodes spatial microclimate correlation between immediately adjacent mangrove clusters.</w:t>
            </w:r>
          </w:p>
        </w:tc>
        <w:tc>
          <w:tcPr>
            <w:tcW w:w="2016" w:type="dxa"/>
          </w:tcPr>
          <w:p w14:paraId="52CB6A82" w14:textId="77777777" w:rsidR="00D42293" w:rsidRDefault="00000000">
            <w:r>
              <w:rPr>
                <w:rFonts w:ascii="Times New Roman" w:hAnsi="Times New Roman"/>
                <w:sz w:val="20"/>
              </w:rPr>
              <w:t>Weight = 0.25 (Local diffusion)</w:t>
            </w:r>
          </w:p>
        </w:tc>
      </w:tr>
    </w:tbl>
    <w:p w14:paraId="096718B4" w14:textId="77777777" w:rsidR="00D42293" w:rsidRDefault="00D42293">
      <w:pPr>
        <w:spacing w:before="40" w:after="120"/>
      </w:pPr>
    </w:p>
    <w:p w14:paraId="532B78F2" w14:textId="77777777" w:rsidR="00D42293" w:rsidRDefault="00000000">
      <w:pPr>
        <w:spacing w:after="120" w:line="360" w:lineRule="exact"/>
        <w:jc w:val="both"/>
      </w:pPr>
      <w:r>
        <w:rPr>
          <w:rFonts w:ascii="Times New Roman" w:hAnsi="Times New Roman"/>
          <w:sz w:val="24"/>
        </w:rPr>
        <w:t>Figure 3.16 displays the resulting topological graph constructed using NetworkX, comprising 53 nodes and 86 directed edges.</w:t>
      </w:r>
    </w:p>
    <w:p w14:paraId="45CBC7A9" w14:textId="77777777" w:rsidR="00D42293" w:rsidRDefault="00000000">
      <w:pPr>
        <w:spacing w:before="160" w:after="80"/>
        <w:jc w:val="center"/>
      </w:pPr>
      <w:r>
        <w:rPr>
          <w:noProof/>
        </w:rPr>
        <w:lastRenderedPageBreak/>
        <w:drawing>
          <wp:inline distT="0" distB="0" distL="0" distR="0" wp14:anchorId="0C73EE59" wp14:editId="568B8FD7">
            <wp:extent cx="5303520" cy="43460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3_NetworkX_Graph_of_Sedimental_and_Tidal Connectivity.png"/>
                    <pic:cNvPicPr/>
                  </pic:nvPicPr>
                  <pic:blipFill>
                    <a:blip r:embed="rId22"/>
                    <a:stretch>
                      <a:fillRect/>
                    </a:stretch>
                  </pic:blipFill>
                  <pic:spPr>
                    <a:xfrm>
                      <a:off x="0" y="0"/>
                      <a:ext cx="5303520" cy="4346063"/>
                    </a:xfrm>
                    <a:prstGeom prst="rect">
                      <a:avLst/>
                    </a:prstGeom>
                  </pic:spPr>
                </pic:pic>
              </a:graphicData>
            </a:graphic>
          </wp:inline>
        </w:drawing>
      </w:r>
    </w:p>
    <w:p w14:paraId="35B77FE1" w14:textId="77777777" w:rsidR="00D42293" w:rsidRDefault="00000000">
      <w:pPr>
        <w:spacing w:before="40" w:after="160"/>
        <w:jc w:val="center"/>
      </w:pPr>
      <w:r>
        <w:rPr>
          <w:rFonts w:ascii="Times New Roman" w:hAnsi="Times New Roman"/>
          <w:i/>
          <w:color w:val="505050"/>
          <w:sz w:val="20"/>
        </w:rPr>
        <w:t>Figure 3.16: Directed topological graph constructed in NetworkX depicting tidal and sedimental connectivity (86 edges).</w:t>
      </w:r>
    </w:p>
    <w:p w14:paraId="2D7901F8" w14:textId="59CA9DEC"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Figure 3.16 visualises the topological graph structure generated in STAGE_3.ipynb Cell 101</w:t>
      </w:r>
      <w:r w:rsidR="004D0FE8">
        <w:rPr>
          <w:rFonts w:ascii="Times New Roman" w:hAnsi="Times New Roman"/>
          <w:sz w:val="24"/>
          <w:lang w:val="en-IN"/>
        </w:rPr>
        <w:t>-</w:t>
      </w:r>
      <w:r w:rsidRPr="001251D7">
        <w:rPr>
          <w:rFonts w:ascii="Times New Roman" w:hAnsi="Times New Roman"/>
          <w:sz w:val="24"/>
          <w:lang w:val="en-IN"/>
        </w:rPr>
        <w:t>102. Each node represents a distinct mangrove patch positioned at its geographic centroid (latitude/longitude), while arrows represent directed edges encoding sedimental and tidal flux. Heavily connected central hubs correspond to major estuarine channels in the Abu Dhabi archipelago where tidal flushing is intense. This relational structure allows message passing between hydrodynamically linked patches.</w:t>
      </w:r>
    </w:p>
    <w:p w14:paraId="164D5ADE" w14:textId="77777777"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Figure 3.17 overlays this topological graph directly onto the physical geography of the UAE coastline.</w:t>
      </w:r>
    </w:p>
    <w:p w14:paraId="477870D5" w14:textId="30A3ACF9" w:rsidR="00D42293" w:rsidRDefault="00D42293">
      <w:pPr>
        <w:spacing w:after="120" w:line="360" w:lineRule="exact"/>
        <w:jc w:val="both"/>
      </w:pPr>
    </w:p>
    <w:p w14:paraId="728D6974" w14:textId="77777777" w:rsidR="00D42293" w:rsidRDefault="00000000">
      <w:pPr>
        <w:spacing w:before="160" w:after="80"/>
        <w:jc w:val="center"/>
      </w:pPr>
      <w:r>
        <w:rPr>
          <w:noProof/>
        </w:rPr>
        <w:lastRenderedPageBreak/>
        <w:drawing>
          <wp:inline distT="0" distB="0" distL="0" distR="0" wp14:anchorId="431A1E32" wp14:editId="5C053E00">
            <wp:extent cx="5303520" cy="31497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3_Patches_and_edges.png"/>
                    <pic:cNvPicPr/>
                  </pic:nvPicPr>
                  <pic:blipFill>
                    <a:blip r:embed="rId23"/>
                    <a:stretch>
                      <a:fillRect/>
                    </a:stretch>
                  </pic:blipFill>
                  <pic:spPr>
                    <a:xfrm>
                      <a:off x="0" y="0"/>
                      <a:ext cx="5303520" cy="3149773"/>
                    </a:xfrm>
                    <a:prstGeom prst="rect">
                      <a:avLst/>
                    </a:prstGeom>
                  </pic:spPr>
                </pic:pic>
              </a:graphicData>
            </a:graphic>
          </wp:inline>
        </w:drawing>
      </w:r>
    </w:p>
    <w:p w14:paraId="36136B52" w14:textId="77777777" w:rsidR="00D42293" w:rsidRDefault="00000000">
      <w:pPr>
        <w:spacing w:before="40" w:after="160"/>
        <w:jc w:val="center"/>
      </w:pPr>
      <w:r>
        <w:rPr>
          <w:rFonts w:ascii="Times New Roman" w:hAnsi="Times New Roman"/>
          <w:i/>
          <w:color w:val="505050"/>
          <w:sz w:val="20"/>
        </w:rPr>
        <w:t>Figure 3.17: Spatial overlay of mangrove patch nodes and directional sedimental transport edges along the UAE coastline.</w:t>
      </w:r>
    </w:p>
    <w:p w14:paraId="2D5CC989" w14:textId="7E70DF43"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Figure 3.17 demonstrates the spatial grounding of the graph network along the UAE coast. The visualization confirms that directed edges follow natural coastal contours and tidal bathymetry, connecting seaward outer-barrier patches to sheltered inner-lagoon patches. This spatial overlay proves that the graph structure reflects true hydrodynamic connectivity rather than an arbitrary mathematical abstraction.</w:t>
      </w:r>
    </w:p>
    <w:p w14:paraId="7A4782A8" w14:textId="77777777" w:rsidR="004D0FE8"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 xml:space="preserve">To feed this graph into the Spatio-Temporal Graph Neural Network, an adjacency matrix A was constructed and normalized using the symmetric normalization formula </w:t>
      </w:r>
    </w:p>
    <w:p w14:paraId="6C798949" w14:textId="5ABB1BD7" w:rsidR="004D0FE8" w:rsidRPr="004D0FE8" w:rsidRDefault="004D0FE8" w:rsidP="001251D7">
      <w:pPr>
        <w:spacing w:after="120" w:line="360" w:lineRule="exact"/>
        <w:jc w:val="both"/>
        <w:rPr>
          <w:rFonts w:ascii="Times New Roman" w:hAnsi="Times New Roman"/>
          <w:sz w:val="24"/>
          <w:lang w:val="en-IN"/>
        </w:rPr>
      </w:pPr>
      <m:oMathPara>
        <m:oMath>
          <m:r>
            <m:rPr>
              <m:sty m:val="p"/>
            </m:rPr>
            <w:rPr>
              <w:rFonts w:ascii="Cambria Math" w:hAnsi="Cambria Math"/>
              <w:sz w:val="24"/>
              <w:lang w:val="en-IN"/>
            </w:rPr>
            <m:t>Â</m:t>
          </m:r>
          <m:r>
            <m:rPr>
              <m:sty m:val="p"/>
            </m:rPr>
            <w:rPr>
              <w:rFonts w:ascii="Cambria Math" w:hAnsi="Times New Roman"/>
              <w:sz w:val="24"/>
              <w:lang w:val="en-IN"/>
            </w:rPr>
            <m:t>=</m:t>
          </m:r>
          <m:sSup>
            <m:sSupPr>
              <m:ctrlPr>
                <w:rPr>
                  <w:rFonts w:ascii="Cambria Math" w:hAnsi="Cambria Math"/>
                  <w:sz w:val="24"/>
                  <w:lang w:val="en-IN"/>
                </w:rPr>
              </m:ctrlPr>
            </m:sSupPr>
            <m:e>
              <m:acc>
                <m:accPr>
                  <m:chr m:val="̃"/>
                  <m:ctrlPr>
                    <w:rPr>
                      <w:rFonts w:ascii="Cambria Math" w:hAnsi="Cambria Math"/>
                      <w:sz w:val="24"/>
                      <w:lang w:val="en-IN"/>
                    </w:rPr>
                  </m:ctrlPr>
                </m:accPr>
                <m:e>
                  <m:r>
                    <m:rPr>
                      <m:sty m:val="p"/>
                    </m:rPr>
                    <w:rPr>
                      <w:rFonts w:ascii="Cambria Math" w:hAnsi="Cambria Math"/>
                      <w:sz w:val="24"/>
                      <w:lang w:val="en-IN"/>
                    </w:rPr>
                    <m:t>D</m:t>
                  </m:r>
                </m:e>
              </m:acc>
            </m:e>
            <m:sup>
              <m:r>
                <m:rPr>
                  <m:sty m:val="p"/>
                </m:rPr>
                <w:rPr>
                  <w:rFonts w:ascii="Cambria Math" w:hAnsi="Cambria Math"/>
                  <w:sz w:val="24"/>
                  <w:lang w:val="en-IN"/>
                </w:rPr>
                <m:t>-</m:t>
              </m:r>
              <m:f>
                <m:fPr>
                  <m:ctrlPr>
                    <w:rPr>
                      <w:rFonts w:ascii="Cambria Math" w:hAnsi="Cambria Math"/>
                      <w:sz w:val="24"/>
                      <w:lang w:val="en-IN"/>
                    </w:rPr>
                  </m:ctrlPr>
                </m:fPr>
                <m:num>
                  <m:r>
                    <m:rPr>
                      <m:sty m:val="p"/>
                    </m:rPr>
                    <w:rPr>
                      <w:rFonts w:ascii="Cambria Math" w:hAnsi="Cambria Math"/>
                      <w:sz w:val="24"/>
                      <w:lang w:val="en-IN"/>
                    </w:rPr>
                    <m:t>1</m:t>
                  </m:r>
                </m:num>
                <m:den>
                  <m:r>
                    <m:rPr>
                      <m:sty m:val="p"/>
                    </m:rPr>
                    <w:rPr>
                      <w:rFonts w:ascii="Cambria Math" w:hAnsi="Cambria Math"/>
                      <w:sz w:val="24"/>
                      <w:lang w:val="en-IN"/>
                    </w:rPr>
                    <m:t>2</m:t>
                  </m:r>
                </m:den>
              </m:f>
            </m:sup>
          </m:sSup>
          <m:r>
            <m:rPr>
              <m:sty m:val="p"/>
            </m:rPr>
            <w:rPr>
              <w:rFonts w:ascii="Cambria Math" w:hAnsi="Cambria Math"/>
              <w:sz w:val="24"/>
              <w:lang w:val="en-IN"/>
            </w:rPr>
            <m:t>*</m:t>
          </m:r>
          <m:r>
            <m:rPr>
              <m:sty m:val="p"/>
            </m:rPr>
            <w:rPr>
              <w:rFonts w:ascii="Cambria Math" w:hAnsi="Cambria Math"/>
              <w:sz w:val="24"/>
              <w:lang w:val="en-IN"/>
            </w:rPr>
            <m:t>Ã</m:t>
          </m:r>
          <m:r>
            <m:rPr>
              <m:sty m:val="p"/>
            </m:rPr>
            <w:rPr>
              <w:rFonts w:ascii="Cambria Math" w:hAnsi="Cambria Math"/>
              <w:sz w:val="24"/>
              <w:lang w:val="en-IN"/>
            </w:rPr>
            <m:t>*</m:t>
          </m:r>
          <m:sSup>
            <m:sSupPr>
              <m:ctrlPr>
                <w:rPr>
                  <w:rFonts w:ascii="Cambria Math" w:hAnsi="Cambria Math"/>
                  <w:sz w:val="24"/>
                  <w:lang w:val="en-IN"/>
                </w:rPr>
              </m:ctrlPr>
            </m:sSupPr>
            <m:e>
              <m:acc>
                <m:accPr>
                  <m:chr m:val="̃"/>
                  <m:ctrlPr>
                    <w:rPr>
                      <w:rFonts w:ascii="Cambria Math" w:hAnsi="Cambria Math"/>
                      <w:sz w:val="24"/>
                      <w:lang w:val="en-IN"/>
                    </w:rPr>
                  </m:ctrlPr>
                </m:accPr>
                <m:e>
                  <m:r>
                    <m:rPr>
                      <m:sty m:val="p"/>
                    </m:rPr>
                    <w:rPr>
                      <w:rFonts w:ascii="Cambria Math" w:hAnsi="Cambria Math"/>
                      <w:sz w:val="24"/>
                      <w:lang w:val="en-IN"/>
                    </w:rPr>
                    <m:t>D</m:t>
                  </m:r>
                </m:e>
              </m:acc>
            </m:e>
            <m:sup>
              <m:r>
                <m:rPr>
                  <m:sty m:val="p"/>
                </m:rPr>
                <w:rPr>
                  <w:rFonts w:ascii="Cambria Math" w:hAnsi="Cambria Math"/>
                  <w:sz w:val="24"/>
                  <w:lang w:val="en-IN"/>
                </w:rPr>
                <m:t>-</m:t>
              </m:r>
              <m:f>
                <m:fPr>
                  <m:ctrlPr>
                    <w:rPr>
                      <w:rFonts w:ascii="Cambria Math" w:hAnsi="Cambria Math"/>
                      <w:sz w:val="24"/>
                      <w:lang w:val="en-IN"/>
                    </w:rPr>
                  </m:ctrlPr>
                </m:fPr>
                <m:num>
                  <m:r>
                    <m:rPr>
                      <m:sty m:val="p"/>
                    </m:rPr>
                    <w:rPr>
                      <w:rFonts w:ascii="Cambria Math" w:hAnsi="Cambria Math"/>
                      <w:sz w:val="24"/>
                      <w:lang w:val="en-IN"/>
                    </w:rPr>
                    <m:t>1</m:t>
                  </m:r>
                </m:num>
                <m:den>
                  <m:r>
                    <m:rPr>
                      <m:sty m:val="p"/>
                    </m:rPr>
                    <w:rPr>
                      <w:rFonts w:ascii="Cambria Math" w:hAnsi="Cambria Math"/>
                      <w:sz w:val="24"/>
                      <w:lang w:val="en-IN"/>
                    </w:rPr>
                    <m:t>2</m:t>
                  </m:r>
                </m:den>
              </m:f>
            </m:sup>
          </m:sSup>
        </m:oMath>
      </m:oMathPara>
    </w:p>
    <w:p w14:paraId="5BAC64CF" w14:textId="2134BAE4"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where Ã = A + I_N represents the adjacency matrix with self-loops, and D̃ is the diagonal degree matrix. Figure 3.18 presents the normalized adjacency matrix heatmap.</w:t>
      </w:r>
    </w:p>
    <w:p w14:paraId="4DE1F5BB" w14:textId="7FA44372" w:rsidR="00D42293" w:rsidRDefault="00D42293">
      <w:pPr>
        <w:spacing w:after="120" w:line="360" w:lineRule="exact"/>
        <w:jc w:val="both"/>
      </w:pPr>
    </w:p>
    <w:p w14:paraId="709CDE5F" w14:textId="77777777" w:rsidR="00D42293" w:rsidRDefault="00000000">
      <w:pPr>
        <w:spacing w:before="160" w:after="80"/>
        <w:jc w:val="center"/>
      </w:pPr>
      <w:r>
        <w:rPr>
          <w:noProof/>
        </w:rPr>
        <w:lastRenderedPageBreak/>
        <w:drawing>
          <wp:inline distT="0" distB="0" distL="0" distR="0" wp14:anchorId="50287E09" wp14:editId="3C77F8A9">
            <wp:extent cx="5303520" cy="46253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3_Adjacancy_Matrix_of_STGNN_Graph.png"/>
                    <pic:cNvPicPr/>
                  </pic:nvPicPr>
                  <pic:blipFill>
                    <a:blip r:embed="rId24"/>
                    <a:stretch>
                      <a:fillRect/>
                    </a:stretch>
                  </pic:blipFill>
                  <pic:spPr>
                    <a:xfrm>
                      <a:off x="0" y="0"/>
                      <a:ext cx="5303520" cy="4625321"/>
                    </a:xfrm>
                    <a:prstGeom prst="rect">
                      <a:avLst/>
                    </a:prstGeom>
                  </pic:spPr>
                </pic:pic>
              </a:graphicData>
            </a:graphic>
          </wp:inline>
        </w:drawing>
      </w:r>
    </w:p>
    <w:p w14:paraId="5BDFF9FB" w14:textId="35267617" w:rsidR="001251D7" w:rsidRPr="001251D7" w:rsidRDefault="00000000" w:rsidP="001251D7">
      <w:pPr>
        <w:spacing w:before="40" w:after="160"/>
        <w:jc w:val="center"/>
      </w:pPr>
      <w:r>
        <w:rPr>
          <w:rFonts w:ascii="Times New Roman" w:hAnsi="Times New Roman"/>
          <w:i/>
          <w:color w:val="505050"/>
          <w:sz w:val="20"/>
        </w:rPr>
        <w:t>Figure 3.18: Adjacency matrix heatmap representing weighted sedimental and tidal edges in the ST-GNN architecture.</w:t>
      </w:r>
    </w:p>
    <w:p w14:paraId="153EACE6" w14:textId="50E5069F"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Figure 3.18 illustrates the weighted adjacency matrix computed in STAGE_3.ipynb Cell 98 using the Viridis colormap. The matrix rows and columns represent the 53 mangrove patches. The colorbar indicates edge weights (1.0 for sedimental edges, 0.5 for tidal edges, and 0.0 for unconnected pairs). The sparse, banded structure of the matrix highlights distinct sub-regional clusters (e.g. Western Abu Dhabi, Central Islands, Eastern Coast), allowing efficient graph convolution operations without computational bottlenecks.</w:t>
      </w:r>
    </w:p>
    <w:p w14:paraId="207BA589" w14:textId="77777777" w:rsidR="001251D7" w:rsidRPr="001251D7" w:rsidRDefault="001251D7" w:rsidP="001251D7">
      <w:pPr>
        <w:spacing w:after="120" w:line="360" w:lineRule="exact"/>
        <w:jc w:val="both"/>
        <w:rPr>
          <w:rFonts w:ascii="Times New Roman" w:hAnsi="Times New Roman"/>
          <w:sz w:val="24"/>
          <w:lang w:val="en-IN"/>
        </w:rPr>
      </w:pPr>
      <w:r w:rsidRPr="001251D7">
        <w:rPr>
          <w:rFonts w:ascii="Times New Roman" w:hAnsi="Times New Roman"/>
          <w:sz w:val="24"/>
          <w:lang w:val="en-IN"/>
        </w:rPr>
        <w:t xml:space="preserve">The ST-GNN architecture processes a 3D input tensor X </w:t>
      </w:r>
      <w:r w:rsidRPr="001251D7">
        <w:rPr>
          <w:rFonts w:ascii="Cambria Math" w:hAnsi="Cambria Math" w:cs="Cambria Math"/>
          <w:sz w:val="24"/>
          <w:lang w:val="en-IN"/>
        </w:rPr>
        <w:t>∈</w:t>
      </w:r>
      <w:r w:rsidRPr="001251D7">
        <w:rPr>
          <w:rFonts w:ascii="Times New Roman" w:hAnsi="Times New Roman"/>
          <w:sz w:val="24"/>
          <w:lang w:val="en-IN"/>
        </w:rPr>
        <w:t xml:space="preserve"> ℝ^(N×T×F), where N = 53 patches, T = 3 months lookback window, and F = 35 features. The network combines a spatial Graph Convolution Layer computing H_spatial = σ(Â X W) with a temporal LSTM layer that captures seasonal phenological cycles, terminating in dense layers that forecast monthly carbon sequestration in an autoregressive 12-month loop.</w:t>
      </w:r>
    </w:p>
    <w:p w14:paraId="3A8608B9" w14:textId="428A322A" w:rsidR="00D42293" w:rsidRDefault="00D42293">
      <w:pPr>
        <w:spacing w:after="120" w:line="360" w:lineRule="exact"/>
        <w:jc w:val="both"/>
      </w:pPr>
    </w:p>
    <w:p w14:paraId="43096252" w14:textId="77777777" w:rsidR="00D42293" w:rsidRDefault="00000000">
      <w:pPr>
        <w:keepNext/>
        <w:spacing w:before="280" w:after="120"/>
      </w:pPr>
      <w:r>
        <w:rPr>
          <w:rFonts w:ascii="Times New Roman" w:hAnsi="Times New Roman"/>
          <w:b/>
          <w:color w:val="005078"/>
          <w:sz w:val="26"/>
        </w:rPr>
        <w:lastRenderedPageBreak/>
        <w:t>3.7 Carbon Accounting Engine and Mangrove Health Score (MHS)</w:t>
      </w:r>
    </w:p>
    <w:p w14:paraId="5A0DB7B5" w14:textId="60B5F558" w:rsidR="00D42293" w:rsidRDefault="004B3926">
      <w:pPr>
        <w:spacing w:after="120" w:line="360" w:lineRule="exact"/>
        <w:jc w:val="both"/>
        <w:rPr>
          <w:rFonts w:ascii="Times New Roman" w:hAnsi="Times New Roman"/>
          <w:sz w:val="24"/>
        </w:rPr>
      </w:pPr>
      <w:r w:rsidRPr="004B3926">
        <w:rPr>
          <w:rFonts w:ascii="Times New Roman" w:hAnsi="Times New Roman"/>
          <w:sz w:val="24"/>
        </w:rPr>
        <w:t>Carbon accounting adheres to IPCC 2013 Wetlands Supplement Tier 2 methodologies using international biophysical constants. Dry biomass is converted to elemental carbon stock using the recognized carbon fraction factor of 0.47, and to carbon dioxide equivalent (tCO2e) using the stoichiometric molecular weight ratio of 44/12:</w:t>
      </w:r>
    </w:p>
    <w:p w14:paraId="6D4F445A" w14:textId="77777777" w:rsidR="00812674" w:rsidRDefault="00812674">
      <w:pPr>
        <w:spacing w:after="120" w:line="360" w:lineRule="exact"/>
        <w:jc w:val="both"/>
        <w:rPr>
          <w:rFonts w:ascii="Times New Roman" w:hAnsi="Times New Roman"/>
          <w:sz w:val="24"/>
        </w:rPr>
      </w:pPr>
    </w:p>
    <w:p w14:paraId="64CBC9CB" w14:textId="14CCDC97" w:rsidR="004B3926" w:rsidRPr="004B3926" w:rsidRDefault="004B3926">
      <w:pPr>
        <w:spacing w:after="120" w:line="360" w:lineRule="exact"/>
        <w:jc w:val="both"/>
        <w:rPr>
          <w:rFonts w:ascii="Times New Roman" w:hAnsi="Times New Roman"/>
          <w:sz w:val="24"/>
        </w:rPr>
      </w:pPr>
      <m:oMathPara>
        <m:oMath>
          <m:r>
            <m:rPr>
              <m:sty m:val="p"/>
            </m:rPr>
            <w:rPr>
              <w:rFonts w:ascii="Cambria Math" w:hAnsi="Cambria Math"/>
              <w:sz w:val="24"/>
            </w:rPr>
            <m:t>Carbon Stock (MgC/ha)</m:t>
          </m:r>
          <m:r>
            <m:rPr>
              <m:sty m:val="p"/>
            </m:rPr>
            <w:rPr>
              <w:rFonts w:ascii="Cambria Math" w:hAnsi="Times New Roman"/>
              <w:sz w:val="24"/>
            </w:rPr>
            <m:t>=</m:t>
          </m:r>
          <m:r>
            <m:rPr>
              <m:sty m:val="p"/>
            </m:rPr>
            <w:rPr>
              <w:rFonts w:ascii="Cambria Math" w:hAnsi="Cambria Math"/>
              <w:sz w:val="24"/>
            </w:rPr>
            <m:t>Biomass (Mg/ha)</m:t>
          </m:r>
          <m:r>
            <m:rPr>
              <m:sty m:val="p"/>
            </m:rPr>
            <w:rPr>
              <w:rFonts w:ascii="Cambria Math" w:hAnsi="Cambria Math" w:cs="Cambria Math"/>
              <w:sz w:val="24"/>
            </w:rPr>
            <m:t>*0.47</m:t>
          </m:r>
        </m:oMath>
      </m:oMathPara>
    </w:p>
    <w:p w14:paraId="1D4FEAB4" w14:textId="5367D6C2" w:rsidR="004B3926" w:rsidRPr="004B3926" w:rsidRDefault="004B3926">
      <w:pPr>
        <w:spacing w:after="120" w:line="360" w:lineRule="exact"/>
        <w:jc w:val="both"/>
        <w:rPr>
          <w:rFonts w:ascii="Times New Roman" w:hAnsi="Times New Roman"/>
          <w:sz w:val="24"/>
        </w:rPr>
      </w:pPr>
      <m:oMathPara>
        <m:oMath>
          <m:r>
            <m:rPr>
              <m:sty m:val="p"/>
            </m:rPr>
            <w:rPr>
              <w:rFonts w:ascii="Cambria Math" w:hAnsi="Cambria Math"/>
              <w:sz w:val="24"/>
            </w:rPr>
            <m:t>CO2 Equivalent (tCO2e/ha)</m:t>
          </m:r>
          <m:r>
            <m:rPr>
              <m:sty m:val="p"/>
            </m:rPr>
            <w:rPr>
              <w:rFonts w:ascii="Cambria Math" w:hAnsi="Times New Roman"/>
              <w:sz w:val="24"/>
            </w:rPr>
            <m:t>=</m:t>
          </m:r>
          <m:r>
            <m:rPr>
              <m:sty m:val="p"/>
            </m:rPr>
            <w:rPr>
              <w:rFonts w:ascii="Cambria Math" w:hAnsi="Cambria Math"/>
              <w:sz w:val="24"/>
            </w:rPr>
            <m:t>Carbon Stock (MgC/ha)</m:t>
          </m:r>
          <m:r>
            <m:rPr>
              <m:sty m:val="p"/>
            </m:rPr>
            <w:rPr>
              <w:rFonts w:ascii="Cambria Math" w:hAnsi="Cambria Math" w:cs="Cambria Math"/>
              <w:sz w:val="24"/>
            </w:rPr>
            <m:t>*</m:t>
          </m:r>
          <m:r>
            <m:rPr>
              <m:sty m:val="p"/>
            </m:rPr>
            <w:rPr>
              <w:rFonts w:ascii="Cambria Math" w:hAnsi="Cambria Math"/>
              <w:sz w:val="24"/>
            </w:rPr>
            <m:t>(44 / 12)</m:t>
          </m:r>
        </m:oMath>
      </m:oMathPara>
    </w:p>
    <w:p w14:paraId="03ADB267" w14:textId="78407554" w:rsidR="004B3926" w:rsidRPr="004B3926" w:rsidRDefault="004B3926">
      <w:pPr>
        <w:spacing w:after="120" w:line="360" w:lineRule="exact"/>
        <w:jc w:val="both"/>
        <w:rPr>
          <w:rFonts w:ascii="Times New Roman" w:hAnsi="Times New Roman"/>
        </w:rPr>
      </w:pPr>
      <m:oMathPara>
        <m:oMath>
          <m:r>
            <m:rPr>
              <m:sty m:val="p"/>
            </m:rPr>
            <w:rPr>
              <w:rFonts w:ascii="Cambria Math" w:hAnsi="Cambria Math"/>
              <w:sz w:val="24"/>
            </w:rPr>
            <m:t>Structure Weight</m:t>
          </m:r>
          <m:r>
            <m:rPr>
              <m:sty m:val="p"/>
            </m:rPr>
            <w:rPr>
              <w:rFonts w:ascii="Cambria Math" w:hAnsi="Times New Roman"/>
              <w:sz w:val="24"/>
            </w:rPr>
            <m:t>=</m:t>
          </m:r>
          <m:r>
            <m:rPr>
              <m:sty m:val="p"/>
            </m:rPr>
            <w:rPr>
              <w:rFonts w:ascii="Cambria Math" w:hAnsi="Cambria Math"/>
              <w:sz w:val="24"/>
            </w:rPr>
            <m:t>Plant Area Index (PAI)</m:t>
          </m:r>
          <m:r>
            <m:rPr>
              <m:sty m:val="p"/>
            </m:rPr>
            <w:rPr>
              <w:rFonts w:ascii="Cambria Math" w:hAnsi="Times New Roman"/>
              <w:sz w:val="24"/>
            </w:rPr>
            <m:t>/</m:t>
          </m:r>
          <m:r>
            <m:rPr>
              <m:sty m:val="p"/>
            </m:rPr>
            <w:rPr>
              <w:rFonts w:ascii="Cambria Math" w:hAnsi="Cambria Math"/>
              <w:sz w:val="24"/>
            </w:rPr>
            <m:t>Global Historical PAI Mean</m:t>
          </m:r>
        </m:oMath>
      </m:oMathPara>
    </w:p>
    <w:p w14:paraId="474D3328" w14:textId="2CCE4C62" w:rsidR="004B3926" w:rsidRPr="004B3926" w:rsidRDefault="004B3926">
      <w:pPr>
        <w:spacing w:after="120" w:line="360" w:lineRule="exact"/>
        <w:jc w:val="both"/>
        <w:rPr>
          <w:rFonts w:ascii="Times New Roman" w:hAnsi="Times New Roman"/>
          <w:sz w:val="24"/>
        </w:rPr>
      </w:pPr>
      <m:oMathPara>
        <m:oMath>
          <m:r>
            <m:rPr>
              <m:sty m:val="p"/>
            </m:rPr>
            <w:rPr>
              <w:rFonts w:ascii="Cambria Math" w:hAnsi="Cambria Math"/>
              <w:sz w:val="24"/>
            </w:rPr>
            <m:t>Monthly Sequestration (MgC/ha)</m:t>
          </m:r>
          <m:r>
            <m:rPr>
              <m:sty m:val="p"/>
            </m:rPr>
            <w:rPr>
              <w:rFonts w:ascii="Cambria Math" w:hAnsi="Times New Roman"/>
              <w:sz w:val="24"/>
            </w:rPr>
            <m:t>=</m:t>
          </m:r>
          <m:r>
            <m:rPr>
              <m:sty m:val="p"/>
            </m:rPr>
            <w:rPr>
              <w:rFonts w:ascii="Cambria Math" w:hAnsi="Cambria Math"/>
              <w:sz w:val="24"/>
            </w:rPr>
            <m:t>(6.0 × Structure Weight)/</m:t>
          </m:r>
          <m:r>
            <w:rPr>
              <w:rFonts w:ascii="Cambria Math" w:hAnsi="Times New Roman"/>
              <w:sz w:val="24"/>
            </w:rPr>
            <m:t>12</m:t>
          </m:r>
        </m:oMath>
      </m:oMathPara>
    </w:p>
    <w:p w14:paraId="1AB019D9" w14:textId="77777777" w:rsidR="004B3926" w:rsidRPr="004B3926" w:rsidRDefault="004B3926">
      <w:pPr>
        <w:spacing w:after="120" w:line="360" w:lineRule="exact"/>
        <w:jc w:val="both"/>
        <w:rPr>
          <w:rFonts w:ascii="Times New Roman" w:hAnsi="Times New Roman"/>
          <w:sz w:val="24"/>
        </w:rPr>
      </w:pPr>
    </w:p>
    <w:p w14:paraId="40361972" w14:textId="295415D1" w:rsidR="00D42293" w:rsidRDefault="00812674">
      <w:pPr>
        <w:spacing w:after="120" w:line="360" w:lineRule="exact"/>
        <w:jc w:val="both"/>
        <w:rPr>
          <w:rFonts w:ascii="Times New Roman" w:hAnsi="Times New Roman"/>
          <w:sz w:val="24"/>
        </w:rPr>
      </w:pPr>
      <w:r>
        <w:rPr>
          <w:rFonts w:ascii="Times New Roman" w:hAnsi="Times New Roman"/>
          <w:sz w:val="24"/>
        </w:rPr>
        <w:t>T</w:t>
      </w:r>
      <w:r w:rsidRPr="00812674">
        <w:rPr>
          <w:rFonts w:ascii="Times New Roman" w:hAnsi="Times New Roman"/>
          <w:sz w:val="24"/>
        </w:rPr>
        <w:t>o provide an intuitive, high-level operational metric for conservation managers, each patch is assigned a monthly Mangrove Health Score (MHS) on a 0–100 scale, combining photosynthetic vigour, vertical canopy structure, and carbon absorption:</w:t>
      </w:r>
    </w:p>
    <w:p w14:paraId="0B4F031D" w14:textId="77777777" w:rsidR="00812674" w:rsidRPr="00812674" w:rsidRDefault="00812674">
      <w:pPr>
        <w:spacing w:after="120" w:line="360" w:lineRule="exact"/>
        <w:jc w:val="both"/>
        <w:rPr>
          <w:rFonts w:ascii="Times New Roman" w:hAnsi="Times New Roman"/>
          <w:sz w:val="24"/>
        </w:rPr>
      </w:pPr>
    </w:p>
    <w:p w14:paraId="6F4E5A01" w14:textId="0719FEC2" w:rsidR="00812674" w:rsidRDefault="00812674">
      <w:pPr>
        <w:spacing w:after="120" w:line="360" w:lineRule="exact"/>
        <w:jc w:val="both"/>
      </w:pPr>
      <m:oMathPara>
        <m:oMath>
          <m:r>
            <m:rPr>
              <m:sty m:val="p"/>
            </m:rPr>
            <w:rPr>
              <w:rFonts w:ascii="Cambria Math" w:hAnsi="Cambria Math"/>
              <w:sz w:val="24"/>
            </w:rPr>
            <m:t>MHS</m:t>
          </m:r>
          <m:r>
            <m:rPr>
              <m:sty m:val="p"/>
            </m:rPr>
            <w:rPr>
              <w:rFonts w:ascii="Cambria Math" w:hAnsi="Times New Roman"/>
              <w:sz w:val="24"/>
            </w:rPr>
            <m:t>=</m:t>
          </m:r>
          <m:r>
            <m:rPr>
              <m:sty m:val="p"/>
            </m:rPr>
            <w:rPr>
              <w:rFonts w:ascii="Cambria Math" w:hAnsi="Cambria Math"/>
              <w:sz w:val="24"/>
            </w:rPr>
            <m:t>(NDVI × 40) + ((rh100 / 10) × 30) + ((Monthly Absorption / 15) × 30)</m:t>
          </m:r>
        </m:oMath>
      </m:oMathPara>
    </w:p>
    <w:p w14:paraId="767B10C3" w14:textId="54A2DD8B" w:rsidR="00D42293" w:rsidRDefault="00D42293">
      <w:pPr>
        <w:spacing w:after="120" w:line="360" w:lineRule="exact"/>
        <w:jc w:val="both"/>
      </w:pPr>
    </w:p>
    <w:p w14:paraId="6A3F0DAF" w14:textId="77777777" w:rsidR="00D42293" w:rsidRDefault="00000000">
      <w:pPr>
        <w:spacing w:before="200" w:after="80"/>
      </w:pPr>
      <w:r>
        <w:rPr>
          <w:rFonts w:ascii="Times New Roman" w:hAnsi="Times New Roman"/>
          <w:b/>
          <w:color w:val="1E1E1E"/>
        </w:rPr>
        <w:t>Table 3.3: Mangrove Health Score (MHS) Index Components, Weightings, and Ecological Rationale.</w:t>
      </w:r>
    </w:p>
    <w:tbl>
      <w:tblPr>
        <w:tblStyle w:val="TableGrid"/>
        <w:tblW w:w="0" w:type="auto"/>
        <w:jc w:val="center"/>
        <w:tblLook w:val="04A0" w:firstRow="1" w:lastRow="0" w:firstColumn="1" w:lastColumn="0" w:noHBand="0" w:noVBand="1"/>
      </w:tblPr>
      <w:tblGrid>
        <w:gridCol w:w="2338"/>
        <w:gridCol w:w="1612"/>
        <w:gridCol w:w="2300"/>
        <w:gridCol w:w="2966"/>
      </w:tblGrid>
      <w:tr w:rsidR="00D42293" w14:paraId="043D53A2" w14:textId="77777777">
        <w:trPr>
          <w:jc w:val="center"/>
        </w:trPr>
        <w:tc>
          <w:tcPr>
            <w:tcW w:w="2592" w:type="dxa"/>
            <w:shd w:val="clear" w:color="auto" w:fill="E6ECF2"/>
          </w:tcPr>
          <w:p w14:paraId="0FFCF4BA" w14:textId="77777777" w:rsidR="00D42293" w:rsidRDefault="00000000">
            <w:pPr>
              <w:jc w:val="center"/>
            </w:pPr>
            <w:r>
              <w:rPr>
                <w:rFonts w:ascii="Times New Roman" w:hAnsi="Times New Roman"/>
                <w:b/>
                <w:color w:val="003366"/>
                <w:sz w:val="20"/>
              </w:rPr>
              <w:t>Index Component</w:t>
            </w:r>
          </w:p>
        </w:tc>
        <w:tc>
          <w:tcPr>
            <w:tcW w:w="1728" w:type="dxa"/>
            <w:shd w:val="clear" w:color="auto" w:fill="E6ECF2"/>
          </w:tcPr>
          <w:p w14:paraId="76454A99" w14:textId="77777777" w:rsidR="00D42293" w:rsidRDefault="00000000">
            <w:pPr>
              <w:jc w:val="center"/>
            </w:pPr>
            <w:r>
              <w:rPr>
                <w:rFonts w:ascii="Times New Roman" w:hAnsi="Times New Roman"/>
                <w:b/>
                <w:color w:val="003366"/>
                <w:sz w:val="20"/>
              </w:rPr>
              <w:t>Normalized Weight</w:t>
            </w:r>
          </w:p>
        </w:tc>
        <w:tc>
          <w:tcPr>
            <w:tcW w:w="2592" w:type="dxa"/>
            <w:shd w:val="clear" w:color="auto" w:fill="E6ECF2"/>
          </w:tcPr>
          <w:p w14:paraId="5B4BD747" w14:textId="77777777" w:rsidR="00D42293" w:rsidRDefault="00000000">
            <w:pPr>
              <w:jc w:val="center"/>
            </w:pPr>
            <w:r>
              <w:rPr>
                <w:rFonts w:ascii="Times New Roman" w:hAnsi="Times New Roman"/>
                <w:b/>
                <w:color w:val="003366"/>
                <w:sz w:val="20"/>
              </w:rPr>
              <w:t>Target Ecological Metric</w:t>
            </w:r>
          </w:p>
        </w:tc>
        <w:tc>
          <w:tcPr>
            <w:tcW w:w="3456" w:type="dxa"/>
            <w:shd w:val="clear" w:color="auto" w:fill="E6ECF2"/>
          </w:tcPr>
          <w:p w14:paraId="078E96D6" w14:textId="77777777" w:rsidR="00D42293" w:rsidRDefault="00000000">
            <w:pPr>
              <w:jc w:val="center"/>
            </w:pPr>
            <w:r>
              <w:rPr>
                <w:rFonts w:ascii="Times New Roman" w:hAnsi="Times New Roman"/>
                <w:b/>
                <w:color w:val="003366"/>
                <w:sz w:val="20"/>
              </w:rPr>
              <w:t>Ecological &amp; Operational Rationale</w:t>
            </w:r>
          </w:p>
        </w:tc>
      </w:tr>
      <w:tr w:rsidR="00D42293" w14:paraId="1EFE6C3B" w14:textId="77777777">
        <w:trPr>
          <w:jc w:val="center"/>
        </w:trPr>
        <w:tc>
          <w:tcPr>
            <w:tcW w:w="2592" w:type="dxa"/>
          </w:tcPr>
          <w:p w14:paraId="3FBE10B2" w14:textId="77777777" w:rsidR="00D42293" w:rsidRDefault="00000000">
            <w:r>
              <w:rPr>
                <w:rFonts w:ascii="Times New Roman" w:hAnsi="Times New Roman"/>
                <w:sz w:val="20"/>
              </w:rPr>
              <w:t>NDVI (Photosynthetic Vigour)</w:t>
            </w:r>
          </w:p>
        </w:tc>
        <w:tc>
          <w:tcPr>
            <w:tcW w:w="1728" w:type="dxa"/>
          </w:tcPr>
          <w:p w14:paraId="799341E5" w14:textId="77777777" w:rsidR="00D42293" w:rsidRDefault="00000000">
            <w:pPr>
              <w:jc w:val="center"/>
            </w:pPr>
            <w:r>
              <w:rPr>
                <w:rFonts w:ascii="Times New Roman" w:hAnsi="Times New Roman"/>
                <w:sz w:val="20"/>
              </w:rPr>
              <w:t>40%</w:t>
            </w:r>
          </w:p>
        </w:tc>
        <w:tc>
          <w:tcPr>
            <w:tcW w:w="2592" w:type="dxa"/>
          </w:tcPr>
          <w:p w14:paraId="2153E81A" w14:textId="77777777" w:rsidR="00D42293" w:rsidRDefault="00000000">
            <w:r>
              <w:rPr>
                <w:rFonts w:ascii="Times New Roman" w:hAnsi="Times New Roman"/>
                <w:sz w:val="20"/>
              </w:rPr>
              <w:t>Canopy Chlorophyll &amp; Greenness</w:t>
            </w:r>
          </w:p>
        </w:tc>
        <w:tc>
          <w:tcPr>
            <w:tcW w:w="3456" w:type="dxa"/>
          </w:tcPr>
          <w:p w14:paraId="2AFBF54E" w14:textId="77777777" w:rsidR="00D42293" w:rsidRDefault="00000000">
            <w:r>
              <w:rPr>
                <w:rFonts w:ascii="Times New Roman" w:hAnsi="Times New Roman"/>
                <w:sz w:val="20"/>
              </w:rPr>
              <w:t>Captures active vegetative health and seasonal foliar growth.</w:t>
            </w:r>
          </w:p>
        </w:tc>
      </w:tr>
      <w:tr w:rsidR="00D42293" w14:paraId="35D3E94E" w14:textId="77777777">
        <w:trPr>
          <w:jc w:val="center"/>
        </w:trPr>
        <w:tc>
          <w:tcPr>
            <w:tcW w:w="2592" w:type="dxa"/>
          </w:tcPr>
          <w:p w14:paraId="218AE46F" w14:textId="77777777" w:rsidR="00D42293" w:rsidRDefault="00000000">
            <w:r>
              <w:rPr>
                <w:rFonts w:ascii="Times New Roman" w:hAnsi="Times New Roman"/>
                <w:sz w:val="20"/>
              </w:rPr>
              <w:t>rh100 (Canopy Height)</w:t>
            </w:r>
          </w:p>
        </w:tc>
        <w:tc>
          <w:tcPr>
            <w:tcW w:w="1728" w:type="dxa"/>
          </w:tcPr>
          <w:p w14:paraId="686A375C" w14:textId="77777777" w:rsidR="00D42293" w:rsidRDefault="00000000">
            <w:pPr>
              <w:jc w:val="center"/>
            </w:pPr>
            <w:r>
              <w:rPr>
                <w:rFonts w:ascii="Times New Roman" w:hAnsi="Times New Roman"/>
                <w:sz w:val="20"/>
              </w:rPr>
              <w:t>30%</w:t>
            </w:r>
          </w:p>
        </w:tc>
        <w:tc>
          <w:tcPr>
            <w:tcW w:w="2592" w:type="dxa"/>
          </w:tcPr>
          <w:p w14:paraId="4DDAB7BC" w14:textId="77777777" w:rsidR="00D42293" w:rsidRDefault="00000000">
            <w:r>
              <w:rPr>
                <w:rFonts w:ascii="Times New Roman" w:hAnsi="Times New Roman"/>
                <w:sz w:val="20"/>
              </w:rPr>
              <w:t>Vertical 3D Structural Maturity</w:t>
            </w:r>
          </w:p>
        </w:tc>
        <w:tc>
          <w:tcPr>
            <w:tcW w:w="3456" w:type="dxa"/>
          </w:tcPr>
          <w:p w14:paraId="5AC7960A" w14:textId="77777777" w:rsidR="00D42293" w:rsidRDefault="00000000">
            <w:r>
              <w:rPr>
                <w:rFonts w:ascii="Times New Roman" w:hAnsi="Times New Roman"/>
                <w:sz w:val="20"/>
              </w:rPr>
              <w:t>Reflects woody biomass accumulation and multi-year stand age.</w:t>
            </w:r>
          </w:p>
        </w:tc>
      </w:tr>
      <w:tr w:rsidR="00D42293" w14:paraId="41077FC2" w14:textId="77777777">
        <w:trPr>
          <w:jc w:val="center"/>
        </w:trPr>
        <w:tc>
          <w:tcPr>
            <w:tcW w:w="2592" w:type="dxa"/>
          </w:tcPr>
          <w:p w14:paraId="1DAA2FDA" w14:textId="77777777" w:rsidR="00D42293" w:rsidRDefault="00000000">
            <w:r>
              <w:rPr>
                <w:rFonts w:ascii="Times New Roman" w:hAnsi="Times New Roman"/>
                <w:sz w:val="20"/>
              </w:rPr>
              <w:t>Carbon Absorption Rate</w:t>
            </w:r>
          </w:p>
        </w:tc>
        <w:tc>
          <w:tcPr>
            <w:tcW w:w="1728" w:type="dxa"/>
          </w:tcPr>
          <w:p w14:paraId="24FA81DC" w14:textId="77777777" w:rsidR="00D42293" w:rsidRDefault="00000000">
            <w:pPr>
              <w:jc w:val="center"/>
            </w:pPr>
            <w:r>
              <w:rPr>
                <w:rFonts w:ascii="Times New Roman" w:hAnsi="Times New Roman"/>
                <w:sz w:val="20"/>
              </w:rPr>
              <w:t>30%</w:t>
            </w:r>
          </w:p>
        </w:tc>
        <w:tc>
          <w:tcPr>
            <w:tcW w:w="2592" w:type="dxa"/>
          </w:tcPr>
          <w:p w14:paraId="39548939" w14:textId="77777777" w:rsidR="00D42293" w:rsidRDefault="00000000">
            <w:r>
              <w:rPr>
                <w:rFonts w:ascii="Times New Roman" w:hAnsi="Times New Roman"/>
                <w:sz w:val="20"/>
              </w:rPr>
              <w:t>Monthly Sequestration (tCO2e)</w:t>
            </w:r>
          </w:p>
        </w:tc>
        <w:tc>
          <w:tcPr>
            <w:tcW w:w="3456" w:type="dxa"/>
          </w:tcPr>
          <w:p w14:paraId="7B21214D" w14:textId="77777777" w:rsidR="00D42293" w:rsidRDefault="00000000">
            <w:r>
              <w:rPr>
                <w:rFonts w:ascii="Times New Roman" w:hAnsi="Times New Roman"/>
                <w:sz w:val="20"/>
              </w:rPr>
              <w:t>Quantifies active atmospheric CO2 drawdown based on PAI structure.</w:t>
            </w:r>
          </w:p>
        </w:tc>
      </w:tr>
    </w:tbl>
    <w:p w14:paraId="57BD07D2" w14:textId="77777777" w:rsidR="00D42293" w:rsidRDefault="00D42293">
      <w:pPr>
        <w:spacing w:before="40" w:after="120"/>
      </w:pPr>
    </w:p>
    <w:p w14:paraId="09E1F509" w14:textId="77777777" w:rsidR="00D42293" w:rsidRDefault="00000000">
      <w:pPr>
        <w:keepNext/>
        <w:spacing w:before="280" w:after="120"/>
      </w:pPr>
      <w:r>
        <w:rPr>
          <w:rFonts w:ascii="Times New Roman" w:hAnsi="Times New Roman"/>
          <w:b/>
          <w:color w:val="005078"/>
          <w:sz w:val="26"/>
        </w:rPr>
        <w:t>3.8 Ethical Governance, Reproducibility, and Open Data Protocols</w:t>
      </w:r>
    </w:p>
    <w:p w14:paraId="3C820368" w14:textId="060E9226" w:rsidR="00D42293" w:rsidRDefault="00812674">
      <w:pPr>
        <w:spacing w:after="120" w:line="360" w:lineRule="exact"/>
        <w:jc w:val="both"/>
      </w:pPr>
      <w:r w:rsidRPr="00812674">
        <w:rPr>
          <w:rFonts w:ascii="Times New Roman" w:hAnsi="Times New Roman"/>
          <w:sz w:val="24"/>
        </w:rPr>
        <w:t xml:space="preserve">The research was submitted to the Middlesex University Dubai Research Ethics Committee and formally classified as Low Risk. The project involves zero human participants, zero animal subjects, and zero private commercial data. All satellite telemetry was acquired under </w:t>
      </w:r>
      <w:r w:rsidRPr="00812674">
        <w:rPr>
          <w:rFonts w:ascii="Times New Roman" w:hAnsi="Times New Roman"/>
          <w:sz w:val="24"/>
        </w:rPr>
        <w:lastRenderedPageBreak/>
        <w:t>the European Space Agency Copernicus Open Access Policy and NASA's Open Earthdata Programme. All software was developed using open-source libraries (TensorFlow, PyTorch Geometric, Next.js, NetworkX), and complete code repositories and datasets have been packaged for absolute scientific reproducibility.</w:t>
      </w:r>
    </w:p>
    <w:p w14:paraId="62C97BE7" w14:textId="77777777" w:rsidR="00D42293" w:rsidRDefault="00000000">
      <w:r>
        <w:br w:type="page"/>
      </w:r>
    </w:p>
    <w:p w14:paraId="66A345ED" w14:textId="77777777" w:rsidR="00D42293" w:rsidRDefault="00000000">
      <w:pPr>
        <w:keepNext/>
        <w:spacing w:before="360" w:after="240"/>
      </w:pPr>
      <w:r>
        <w:rPr>
          <w:rFonts w:ascii="Times New Roman" w:hAnsi="Times New Roman"/>
          <w:b/>
          <w:color w:val="003366"/>
          <w:sz w:val="32"/>
        </w:rPr>
        <w:lastRenderedPageBreak/>
        <w:t>Chapter 4: System Architecture and Platform Engineering</w:t>
      </w:r>
    </w:p>
    <w:p w14:paraId="46B547B6" w14:textId="7B9C38D3" w:rsidR="0098009C" w:rsidRPr="0098009C" w:rsidRDefault="00000000" w:rsidP="0098009C">
      <w:pPr>
        <w:keepNext/>
        <w:spacing w:before="280" w:after="120"/>
      </w:pPr>
      <w:r>
        <w:rPr>
          <w:rFonts w:ascii="Times New Roman" w:hAnsi="Times New Roman"/>
          <w:b/>
          <w:color w:val="005078"/>
          <w:sz w:val="26"/>
        </w:rPr>
        <w:t>4.1 Enterprise Web Application Architecture (Next.js 15 &amp; React 19)</w:t>
      </w:r>
    </w:p>
    <w:p w14:paraId="21A0420A" w14:textId="57DE669F" w:rsidR="0098009C" w:rsidRPr="0098009C" w:rsidRDefault="0098009C" w:rsidP="0098009C">
      <w:pPr>
        <w:spacing w:after="120" w:line="360" w:lineRule="exact"/>
        <w:jc w:val="both"/>
        <w:rPr>
          <w:rFonts w:ascii="Times New Roman" w:hAnsi="Times New Roman"/>
          <w:sz w:val="24"/>
          <w:lang w:val="en-IN"/>
        </w:rPr>
      </w:pPr>
      <w:r w:rsidRPr="0098009C">
        <w:rPr>
          <w:rFonts w:ascii="Times New Roman" w:hAnsi="Times New Roman"/>
          <w:sz w:val="24"/>
          <w:lang w:val="en-IN"/>
        </w:rPr>
        <w:t>One of the thesis’s objectives is to bridge theoretical research and actual deployment, as most academic AI research is stuck as undeployed Jupyter notebooks. To satisfy Objective O6, the validated ML pipeline was deployed as an enterprise web application called Coastal Sentinel UAE Mangrove Carbon Intelligence Platform.</w:t>
      </w:r>
    </w:p>
    <w:p w14:paraId="1C123D98" w14:textId="77777777" w:rsidR="0098009C" w:rsidRPr="0098009C" w:rsidRDefault="0098009C" w:rsidP="0098009C">
      <w:pPr>
        <w:spacing w:after="120" w:line="360" w:lineRule="exact"/>
        <w:jc w:val="both"/>
        <w:rPr>
          <w:rFonts w:ascii="Times New Roman" w:hAnsi="Times New Roman"/>
          <w:sz w:val="24"/>
          <w:lang w:val="en-IN"/>
        </w:rPr>
      </w:pPr>
      <w:r w:rsidRPr="0098009C">
        <w:rPr>
          <w:rFonts w:ascii="Times New Roman" w:hAnsi="Times New Roman"/>
          <w:sz w:val="24"/>
          <w:lang w:val="en-IN"/>
        </w:rPr>
        <w:t>The platform’s frontend was implemented in Next.js 15 (App Router) and React 19. It provides excellent SSR performance while maintaining dynamic routing and client JS hydration. For styling, an up-to-date vanilla Tailwind CSS (not the legacy one) was used with custom colors in HSL format. The color scheme is primarily a dark theme (#222222) with ocean navy blue (#003366) and bioluminescent green (#008080) for better readability on command centers.</w:t>
      </w:r>
    </w:p>
    <w:p w14:paraId="338CE1BE" w14:textId="02D1C065" w:rsidR="00D42293" w:rsidRDefault="00D42293">
      <w:pPr>
        <w:spacing w:after="120" w:line="360" w:lineRule="exact"/>
        <w:jc w:val="both"/>
      </w:pPr>
    </w:p>
    <w:p w14:paraId="3EBCFA95" w14:textId="77777777" w:rsidR="00D42293" w:rsidRDefault="00000000">
      <w:pPr>
        <w:keepNext/>
        <w:spacing w:before="280" w:after="120"/>
      </w:pPr>
      <w:r>
        <w:rPr>
          <w:rFonts w:ascii="Times New Roman" w:hAnsi="Times New Roman"/>
          <w:b/>
          <w:color w:val="005078"/>
          <w:sz w:val="26"/>
        </w:rPr>
        <w:t>4.2 Cloud Infrastructure &amp; Firebase Firestore Schema</w:t>
      </w:r>
    </w:p>
    <w:p w14:paraId="72E607AF" w14:textId="695200D8" w:rsidR="00D42293" w:rsidRDefault="0098009C">
      <w:pPr>
        <w:spacing w:after="120" w:line="360" w:lineRule="exact"/>
        <w:jc w:val="both"/>
      </w:pPr>
      <w:r w:rsidRPr="0098009C">
        <w:rPr>
          <w:rFonts w:ascii="Times New Roman" w:hAnsi="Times New Roman"/>
          <w:sz w:val="24"/>
        </w:rPr>
        <w:t>The platform uses Google Cloud Platform (GCP) for storage and Firebase Firestore for real-time database needs. The latter’s schema was designed around collection-group queries, as shown in Table 4.1 below.</w:t>
      </w:r>
    </w:p>
    <w:p w14:paraId="7DC1B171" w14:textId="77777777" w:rsidR="00D42293" w:rsidRDefault="00000000">
      <w:pPr>
        <w:spacing w:before="200" w:after="80"/>
      </w:pPr>
      <w:r>
        <w:rPr>
          <w:rFonts w:ascii="Times New Roman" w:hAnsi="Times New Roman"/>
          <w:b/>
          <w:color w:val="1E1E1E"/>
        </w:rPr>
        <w:t>Table 4.1: Firebase Firestore Database Schema and Document Organization.</w:t>
      </w:r>
    </w:p>
    <w:tbl>
      <w:tblPr>
        <w:tblStyle w:val="TableGrid"/>
        <w:tblW w:w="0" w:type="auto"/>
        <w:jc w:val="center"/>
        <w:tblLook w:val="04A0" w:firstRow="1" w:lastRow="0" w:firstColumn="1" w:lastColumn="0" w:noHBand="0" w:noVBand="1"/>
      </w:tblPr>
      <w:tblGrid>
        <w:gridCol w:w="2849"/>
        <w:gridCol w:w="2083"/>
        <w:gridCol w:w="2191"/>
        <w:gridCol w:w="2093"/>
      </w:tblGrid>
      <w:tr w:rsidR="00D42293" w14:paraId="6F60FEF1" w14:textId="77777777">
        <w:trPr>
          <w:jc w:val="center"/>
        </w:trPr>
        <w:tc>
          <w:tcPr>
            <w:tcW w:w="2304" w:type="dxa"/>
            <w:shd w:val="clear" w:color="auto" w:fill="E6ECF2"/>
          </w:tcPr>
          <w:p w14:paraId="0AC13969" w14:textId="77777777" w:rsidR="00D42293" w:rsidRDefault="00000000">
            <w:pPr>
              <w:jc w:val="center"/>
            </w:pPr>
            <w:r>
              <w:rPr>
                <w:rFonts w:ascii="Times New Roman" w:hAnsi="Times New Roman"/>
                <w:b/>
                <w:color w:val="003366"/>
                <w:sz w:val="20"/>
              </w:rPr>
              <w:t>Collection Name</w:t>
            </w:r>
          </w:p>
        </w:tc>
        <w:tc>
          <w:tcPr>
            <w:tcW w:w="2592" w:type="dxa"/>
            <w:shd w:val="clear" w:color="auto" w:fill="E6ECF2"/>
          </w:tcPr>
          <w:p w14:paraId="31C42047" w14:textId="77777777" w:rsidR="00D42293" w:rsidRDefault="00000000">
            <w:pPr>
              <w:jc w:val="center"/>
            </w:pPr>
            <w:r>
              <w:rPr>
                <w:rFonts w:ascii="Times New Roman" w:hAnsi="Times New Roman"/>
                <w:b/>
                <w:color w:val="003366"/>
                <w:sz w:val="20"/>
              </w:rPr>
              <w:t>Document Structure</w:t>
            </w:r>
          </w:p>
        </w:tc>
        <w:tc>
          <w:tcPr>
            <w:tcW w:w="2592" w:type="dxa"/>
            <w:shd w:val="clear" w:color="auto" w:fill="E6ECF2"/>
          </w:tcPr>
          <w:p w14:paraId="4C1700EF" w14:textId="77777777" w:rsidR="00D42293" w:rsidRDefault="00000000">
            <w:pPr>
              <w:jc w:val="center"/>
            </w:pPr>
            <w:r>
              <w:rPr>
                <w:rFonts w:ascii="Times New Roman" w:hAnsi="Times New Roman"/>
                <w:b/>
                <w:color w:val="003366"/>
                <w:sz w:val="20"/>
              </w:rPr>
              <w:t>Indexed Fields</w:t>
            </w:r>
          </w:p>
        </w:tc>
        <w:tc>
          <w:tcPr>
            <w:tcW w:w="2880" w:type="dxa"/>
            <w:shd w:val="clear" w:color="auto" w:fill="E6ECF2"/>
          </w:tcPr>
          <w:p w14:paraId="298BB30F" w14:textId="77777777" w:rsidR="00D42293" w:rsidRDefault="00000000">
            <w:pPr>
              <w:jc w:val="center"/>
            </w:pPr>
            <w:r>
              <w:rPr>
                <w:rFonts w:ascii="Times New Roman" w:hAnsi="Times New Roman"/>
                <w:b/>
                <w:color w:val="003366"/>
                <w:sz w:val="20"/>
              </w:rPr>
              <w:t>System Function &amp; Access Pattern</w:t>
            </w:r>
          </w:p>
        </w:tc>
      </w:tr>
      <w:tr w:rsidR="00D42293" w14:paraId="22199E3E" w14:textId="77777777">
        <w:trPr>
          <w:jc w:val="center"/>
        </w:trPr>
        <w:tc>
          <w:tcPr>
            <w:tcW w:w="2304" w:type="dxa"/>
          </w:tcPr>
          <w:p w14:paraId="7721621A" w14:textId="77777777" w:rsidR="00D42293" w:rsidRDefault="00000000">
            <w:pPr>
              <w:jc w:val="center"/>
            </w:pPr>
            <w:r>
              <w:rPr>
                <w:rFonts w:ascii="Times New Roman" w:hAnsi="Times New Roman"/>
                <w:sz w:val="20"/>
              </w:rPr>
              <w:t>Patches</w:t>
            </w:r>
          </w:p>
        </w:tc>
        <w:tc>
          <w:tcPr>
            <w:tcW w:w="2592" w:type="dxa"/>
          </w:tcPr>
          <w:p w14:paraId="56BD77B4" w14:textId="77777777" w:rsidR="00D42293" w:rsidRDefault="00000000">
            <w:r>
              <w:rPr>
                <w:rFonts w:ascii="Times New Roman" w:hAnsi="Times New Roman"/>
                <w:sz w:val="20"/>
              </w:rPr>
              <w:t>Patch_ID (0 to 52)</w:t>
            </w:r>
          </w:p>
        </w:tc>
        <w:tc>
          <w:tcPr>
            <w:tcW w:w="2592" w:type="dxa"/>
          </w:tcPr>
          <w:p w14:paraId="3DA622C3" w14:textId="77777777" w:rsidR="00D42293" w:rsidRDefault="00000000">
            <w:r>
              <w:rPr>
                <w:rFonts w:ascii="Times New Roman" w:hAnsi="Times New Roman"/>
                <w:sz w:val="20"/>
              </w:rPr>
              <w:t>centroid_lat, centroid_lon, area_ha, health_score</w:t>
            </w:r>
          </w:p>
        </w:tc>
        <w:tc>
          <w:tcPr>
            <w:tcW w:w="2880" w:type="dxa"/>
          </w:tcPr>
          <w:p w14:paraId="29905BAC" w14:textId="77777777" w:rsidR="00D42293" w:rsidRDefault="00000000">
            <w:r>
              <w:rPr>
                <w:rFonts w:ascii="Times New Roman" w:hAnsi="Times New Roman"/>
                <w:sz w:val="20"/>
              </w:rPr>
              <w:t>Primary metadata repository for each DBSCAN-delineated mangrove cluster.</w:t>
            </w:r>
          </w:p>
        </w:tc>
      </w:tr>
      <w:tr w:rsidR="00D42293" w14:paraId="0E3AA22E" w14:textId="77777777">
        <w:trPr>
          <w:jc w:val="center"/>
        </w:trPr>
        <w:tc>
          <w:tcPr>
            <w:tcW w:w="2304" w:type="dxa"/>
          </w:tcPr>
          <w:p w14:paraId="4BD8724F" w14:textId="77777777" w:rsidR="00D42293" w:rsidRDefault="00000000">
            <w:r>
              <w:rPr>
                <w:rFonts w:ascii="Times New Roman" w:hAnsi="Times New Roman"/>
                <w:sz w:val="20"/>
              </w:rPr>
              <w:t>Patches/{id}/TimeSeries</w:t>
            </w:r>
          </w:p>
        </w:tc>
        <w:tc>
          <w:tcPr>
            <w:tcW w:w="2592" w:type="dxa"/>
          </w:tcPr>
          <w:p w14:paraId="49A62CF8" w14:textId="7E10A1BC" w:rsidR="00D42293" w:rsidRDefault="00000000">
            <w:r>
              <w:rPr>
                <w:rFonts w:ascii="Times New Roman" w:hAnsi="Times New Roman"/>
                <w:sz w:val="20"/>
              </w:rPr>
              <w:t>Date (YYYY-MM, 2021-01 to 2026-0</w:t>
            </w:r>
            <w:r w:rsidR="00502CE8">
              <w:rPr>
                <w:rFonts w:ascii="Times New Roman" w:hAnsi="Times New Roman"/>
                <w:sz w:val="20"/>
              </w:rPr>
              <w:t>8</w:t>
            </w:r>
            <w:r>
              <w:rPr>
                <w:rFonts w:ascii="Times New Roman" w:hAnsi="Times New Roman"/>
                <w:sz w:val="20"/>
              </w:rPr>
              <w:t>)</w:t>
            </w:r>
          </w:p>
        </w:tc>
        <w:tc>
          <w:tcPr>
            <w:tcW w:w="2592" w:type="dxa"/>
          </w:tcPr>
          <w:p w14:paraId="071811FF" w14:textId="77777777" w:rsidR="00D42293" w:rsidRDefault="00000000">
            <w:r>
              <w:rPr>
                <w:rFonts w:ascii="Times New Roman" w:hAnsi="Times New Roman"/>
                <w:sz w:val="20"/>
              </w:rPr>
              <w:t>NDVI, rh100, biomass_Mg_ha, absorption_tCO2e</w:t>
            </w:r>
          </w:p>
        </w:tc>
        <w:tc>
          <w:tcPr>
            <w:tcW w:w="2880" w:type="dxa"/>
          </w:tcPr>
          <w:p w14:paraId="41770654" w14:textId="42C8CA37" w:rsidR="00D42293" w:rsidRDefault="00D42C81">
            <w:r>
              <w:rPr>
                <w:rFonts w:ascii="Times New Roman" w:hAnsi="Times New Roman"/>
                <w:sz w:val="20"/>
              </w:rPr>
              <w:t>68-month historical and 12-month forecasted temporal telemetry cube.</w:t>
            </w:r>
          </w:p>
        </w:tc>
      </w:tr>
      <w:tr w:rsidR="00D42293" w14:paraId="3F24B77B" w14:textId="77777777">
        <w:trPr>
          <w:jc w:val="center"/>
        </w:trPr>
        <w:tc>
          <w:tcPr>
            <w:tcW w:w="2304" w:type="dxa"/>
          </w:tcPr>
          <w:p w14:paraId="7A6C7422" w14:textId="77777777" w:rsidR="00D42293" w:rsidRDefault="00000000">
            <w:r>
              <w:rPr>
                <w:rFonts w:ascii="Times New Roman" w:hAnsi="Times New Roman"/>
                <w:sz w:val="20"/>
              </w:rPr>
              <w:t>MCIP_System_Alerts</w:t>
            </w:r>
          </w:p>
        </w:tc>
        <w:tc>
          <w:tcPr>
            <w:tcW w:w="2592" w:type="dxa"/>
          </w:tcPr>
          <w:p w14:paraId="2DB029C0" w14:textId="77777777" w:rsidR="00D42293" w:rsidRDefault="00000000">
            <w:r>
              <w:rPr>
                <w:rFonts w:ascii="Times New Roman" w:hAnsi="Times New Roman"/>
                <w:sz w:val="20"/>
              </w:rPr>
              <w:t>Alert_ID (UUID)</w:t>
            </w:r>
          </w:p>
        </w:tc>
        <w:tc>
          <w:tcPr>
            <w:tcW w:w="2592" w:type="dxa"/>
          </w:tcPr>
          <w:p w14:paraId="5A3E65B8" w14:textId="77777777" w:rsidR="00D42293" w:rsidRDefault="00000000">
            <w:r>
              <w:rPr>
                <w:rFonts w:ascii="Times New Roman" w:hAnsi="Times New Roman"/>
                <w:sz w:val="20"/>
              </w:rPr>
              <w:t>patch_id, severity (Level 1-3), status, date</w:t>
            </w:r>
          </w:p>
        </w:tc>
        <w:tc>
          <w:tcPr>
            <w:tcW w:w="2880" w:type="dxa"/>
          </w:tcPr>
          <w:p w14:paraId="26D11BD0" w14:textId="77777777" w:rsidR="00D42293" w:rsidRDefault="00000000">
            <w:r>
              <w:rPr>
                <w:rFonts w:ascii="Times New Roman" w:hAnsi="Times New Roman"/>
                <w:sz w:val="20"/>
              </w:rPr>
              <w:t>Real-time anomaly tracking log managing automated threat warnings.</w:t>
            </w:r>
          </w:p>
        </w:tc>
      </w:tr>
      <w:tr w:rsidR="00D42293" w14:paraId="2787C45E" w14:textId="77777777">
        <w:trPr>
          <w:jc w:val="center"/>
        </w:trPr>
        <w:tc>
          <w:tcPr>
            <w:tcW w:w="2304" w:type="dxa"/>
          </w:tcPr>
          <w:p w14:paraId="7E9FB702" w14:textId="77777777" w:rsidR="00D42293" w:rsidRDefault="00000000">
            <w:r>
              <w:rPr>
                <w:rFonts w:ascii="Times New Roman" w:hAnsi="Times New Roman"/>
                <w:sz w:val="20"/>
              </w:rPr>
              <w:t>UAE_Verified_Carbon_Register</w:t>
            </w:r>
          </w:p>
        </w:tc>
        <w:tc>
          <w:tcPr>
            <w:tcW w:w="2592" w:type="dxa"/>
          </w:tcPr>
          <w:p w14:paraId="503CB2F3" w14:textId="77777777" w:rsidR="00D42293" w:rsidRDefault="00000000">
            <w:r>
              <w:rPr>
                <w:rFonts w:ascii="Times New Roman" w:hAnsi="Times New Roman"/>
                <w:sz w:val="20"/>
              </w:rPr>
              <w:t>Serial_Number (UUID)</w:t>
            </w:r>
          </w:p>
        </w:tc>
        <w:tc>
          <w:tcPr>
            <w:tcW w:w="2592" w:type="dxa"/>
          </w:tcPr>
          <w:p w14:paraId="43A9EB6B" w14:textId="77777777" w:rsidR="00D42293" w:rsidRDefault="00000000">
            <w:r>
              <w:rPr>
                <w:rFonts w:ascii="Times New Roman" w:hAnsi="Times New Roman"/>
                <w:sz w:val="20"/>
              </w:rPr>
              <w:t>patch_id, vintage_year, tCO2e_verified, status</w:t>
            </w:r>
          </w:p>
        </w:tc>
        <w:tc>
          <w:tcPr>
            <w:tcW w:w="2880" w:type="dxa"/>
          </w:tcPr>
          <w:p w14:paraId="68B94B39" w14:textId="77777777" w:rsidR="00D42293" w:rsidRDefault="00000000">
            <w:r>
              <w:rPr>
                <w:rFonts w:ascii="Times New Roman" w:hAnsi="Times New Roman"/>
                <w:sz w:val="20"/>
              </w:rPr>
              <w:t>Immutable digital registry ledger tracking certified blue carbon credits.</w:t>
            </w:r>
          </w:p>
        </w:tc>
      </w:tr>
    </w:tbl>
    <w:p w14:paraId="1E850AE4" w14:textId="77777777" w:rsidR="00D42293" w:rsidRDefault="00D42293">
      <w:pPr>
        <w:spacing w:before="40" w:after="120"/>
      </w:pPr>
    </w:p>
    <w:p w14:paraId="70FF7DE7" w14:textId="77777777" w:rsidR="00D42293" w:rsidRDefault="00000000">
      <w:pPr>
        <w:keepNext/>
        <w:spacing w:before="280" w:after="120"/>
      </w:pPr>
      <w:r>
        <w:rPr>
          <w:rFonts w:ascii="Times New Roman" w:hAnsi="Times New Roman"/>
          <w:b/>
          <w:color w:val="005078"/>
          <w:sz w:val="26"/>
        </w:rPr>
        <w:lastRenderedPageBreak/>
        <w:t>4.3 Real-Time Interactive Web Dashboard</w:t>
      </w:r>
    </w:p>
    <w:p w14:paraId="148E0626" w14:textId="755D72B2" w:rsidR="00D42293" w:rsidRDefault="0098009C">
      <w:pPr>
        <w:spacing w:after="120" w:line="360" w:lineRule="exact"/>
        <w:jc w:val="both"/>
      </w:pPr>
      <w:r w:rsidRPr="0098009C">
        <w:rPr>
          <w:rFonts w:ascii="Times New Roman" w:hAnsi="Times New Roman"/>
          <w:sz w:val="24"/>
        </w:rPr>
        <w:t xml:space="preserve">The executive-level dashboard is available at /dashboard </w:t>
      </w:r>
      <w:r w:rsidR="00502CE8">
        <w:rPr>
          <w:rFonts w:ascii="Times New Roman" w:hAnsi="Times New Roman"/>
          <w:sz w:val="24"/>
        </w:rPr>
        <w:t>-</w:t>
      </w:r>
      <w:r w:rsidRPr="0098009C">
        <w:rPr>
          <w:rFonts w:ascii="Times New Roman" w:hAnsi="Times New Roman"/>
          <w:sz w:val="24"/>
        </w:rPr>
        <w:t xml:space="preserve"> it provides a high-level summary of the platform’s operations, as seen in Figure 4.1.</w:t>
      </w:r>
    </w:p>
    <w:p w14:paraId="278EA3C4" w14:textId="77777777" w:rsidR="00D42293" w:rsidRDefault="00000000">
      <w:pPr>
        <w:spacing w:before="160" w:after="80"/>
        <w:jc w:val="center"/>
      </w:pPr>
      <w:r>
        <w:rPr>
          <w:noProof/>
        </w:rPr>
        <w:drawing>
          <wp:inline distT="0" distB="0" distL="0" distR="0" wp14:anchorId="618B399E" wp14:editId="352E5484">
            <wp:extent cx="5303520" cy="26974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Dashboard.png"/>
                    <pic:cNvPicPr/>
                  </pic:nvPicPr>
                  <pic:blipFill>
                    <a:blip r:embed="rId25"/>
                    <a:stretch>
                      <a:fillRect/>
                    </a:stretch>
                  </pic:blipFill>
                  <pic:spPr>
                    <a:xfrm>
                      <a:off x="0" y="0"/>
                      <a:ext cx="5303520" cy="2697408"/>
                    </a:xfrm>
                    <a:prstGeom prst="rect">
                      <a:avLst/>
                    </a:prstGeom>
                  </pic:spPr>
                </pic:pic>
              </a:graphicData>
            </a:graphic>
          </wp:inline>
        </w:drawing>
      </w:r>
    </w:p>
    <w:p w14:paraId="262D6661" w14:textId="77777777" w:rsidR="00D42293" w:rsidRDefault="00000000">
      <w:pPr>
        <w:spacing w:before="40" w:after="160"/>
        <w:jc w:val="center"/>
      </w:pPr>
      <w:r>
        <w:rPr>
          <w:rFonts w:ascii="Times New Roman" w:hAnsi="Times New Roman"/>
          <w:i/>
          <w:color w:val="505050"/>
          <w:sz w:val="20"/>
        </w:rPr>
        <w:t>Figure 4.1: The MCIP Web Dashboard overview showing key performance indicators, active patches, and carbon stocks.</w:t>
      </w:r>
    </w:p>
    <w:p w14:paraId="36BD585A" w14:textId="46917839" w:rsidR="00D42293" w:rsidRDefault="0098009C">
      <w:pPr>
        <w:spacing w:after="120" w:line="360" w:lineRule="exact"/>
        <w:jc w:val="both"/>
      </w:pPr>
      <w:r w:rsidRPr="0098009C">
        <w:rPr>
          <w:rFonts w:ascii="Times New Roman" w:hAnsi="Times New Roman"/>
          <w:sz w:val="24"/>
        </w:rPr>
        <w:t>Figure 4.1 shows the MCIP web dashboard, the main page of the platform. On the top, there are KPI cards showing the Total Blue Carbon Sequestered (in tonnes of CO2e), National Ecosystem Health Score (MHS average), Number of Active Verified Mangrove Patches (53 nodes), and Estimated Carbon Asset Value in USD ($35/tCO2e). Below the KPIs, there is the UAE Coastal Map with individual patches categorized by their status and monthly carbon absorption trends and the latest system alerts.</w:t>
      </w:r>
    </w:p>
    <w:p w14:paraId="18F3489E" w14:textId="77777777" w:rsidR="00D42293" w:rsidRDefault="00000000">
      <w:pPr>
        <w:keepNext/>
        <w:spacing w:before="280" w:after="120"/>
      </w:pPr>
      <w:r>
        <w:rPr>
          <w:rFonts w:ascii="Times New Roman" w:hAnsi="Times New Roman"/>
          <w:b/>
          <w:color w:val="005078"/>
          <w:sz w:val="26"/>
        </w:rPr>
        <w:t>4.4 Geospatial Coastal Mapping and Patch Exploration</w:t>
      </w:r>
    </w:p>
    <w:p w14:paraId="483599A8" w14:textId="6FCB4486" w:rsidR="00D42293" w:rsidRDefault="0098009C">
      <w:pPr>
        <w:spacing w:after="120" w:line="360" w:lineRule="exact"/>
        <w:jc w:val="both"/>
      </w:pPr>
      <w:r w:rsidRPr="0098009C">
        <w:rPr>
          <w:rFonts w:ascii="Times New Roman" w:hAnsi="Times New Roman"/>
          <w:sz w:val="24"/>
        </w:rPr>
        <w:t>The GIS mapping module is available at /map – it shows the entire UAE coastline at a high level of detail, as seen in Figure 4.2.</w:t>
      </w:r>
    </w:p>
    <w:p w14:paraId="4B54AE14" w14:textId="77777777" w:rsidR="00D42293" w:rsidRDefault="00000000">
      <w:pPr>
        <w:spacing w:before="160" w:after="80"/>
        <w:jc w:val="center"/>
      </w:pPr>
      <w:r>
        <w:rPr>
          <w:noProof/>
        </w:rPr>
        <w:lastRenderedPageBreak/>
        <w:drawing>
          <wp:inline distT="0" distB="0" distL="0" distR="0" wp14:anchorId="4D6D17EE" wp14:editId="6D3BE657">
            <wp:extent cx="5303520" cy="27043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Costal_Map.png"/>
                    <pic:cNvPicPr/>
                  </pic:nvPicPr>
                  <pic:blipFill>
                    <a:blip r:embed="rId26"/>
                    <a:stretch>
                      <a:fillRect/>
                    </a:stretch>
                  </pic:blipFill>
                  <pic:spPr>
                    <a:xfrm>
                      <a:off x="0" y="0"/>
                      <a:ext cx="5303520" cy="2704352"/>
                    </a:xfrm>
                    <a:prstGeom prst="rect">
                      <a:avLst/>
                    </a:prstGeom>
                  </pic:spPr>
                </pic:pic>
              </a:graphicData>
            </a:graphic>
          </wp:inline>
        </w:drawing>
      </w:r>
    </w:p>
    <w:p w14:paraId="0AA70C43" w14:textId="77777777" w:rsidR="00D42293" w:rsidRDefault="00000000">
      <w:pPr>
        <w:spacing w:before="40" w:after="160"/>
        <w:jc w:val="center"/>
      </w:pPr>
      <w:r>
        <w:rPr>
          <w:rFonts w:ascii="Times New Roman" w:hAnsi="Times New Roman"/>
          <w:i/>
          <w:color w:val="505050"/>
          <w:sz w:val="20"/>
        </w:rPr>
        <w:t>Figure 4.2: Interactive Geospatial Coastal Map interface with multi-spectral overlay and patch-level inspector.</w:t>
      </w:r>
    </w:p>
    <w:p w14:paraId="458E1565" w14:textId="704E1A97" w:rsidR="00D42293" w:rsidRDefault="0098009C">
      <w:pPr>
        <w:spacing w:after="120" w:line="360" w:lineRule="exact"/>
        <w:jc w:val="both"/>
      </w:pPr>
      <w:r w:rsidRPr="0098009C">
        <w:rPr>
          <w:rFonts w:ascii="Times New Roman" w:hAnsi="Times New Roman"/>
          <w:sz w:val="24"/>
        </w:rPr>
        <w:t>Figure 4.2 shows the GIS coastal map module. Users can interactively explore individual patches (e.g., the one highlighted in the middle of Abu Dhabi). After clicking any patch, the panel on the right shows details for the selected Sentinel-2 pixels, including mean NDVI, GEDI-derived canopy height rh100, Above-Ground Biomass density, and monthly carbon absorption rates.</w:t>
      </w:r>
    </w:p>
    <w:p w14:paraId="76D7A03A" w14:textId="77777777" w:rsidR="00D42293" w:rsidRDefault="00000000">
      <w:pPr>
        <w:keepNext/>
        <w:spacing w:before="280" w:after="120"/>
      </w:pPr>
      <w:r>
        <w:rPr>
          <w:rFonts w:ascii="Times New Roman" w:hAnsi="Times New Roman"/>
          <w:b/>
          <w:color w:val="005078"/>
          <w:sz w:val="26"/>
        </w:rPr>
        <w:t>4.5 Carbon Analytics Engine and Temporal Trend Modeling</w:t>
      </w:r>
    </w:p>
    <w:p w14:paraId="492AB76C" w14:textId="036862CC" w:rsidR="00D42293" w:rsidRDefault="0098009C">
      <w:pPr>
        <w:spacing w:after="120" w:line="360" w:lineRule="exact"/>
        <w:jc w:val="both"/>
      </w:pPr>
      <w:r w:rsidRPr="0098009C">
        <w:rPr>
          <w:rFonts w:ascii="Times New Roman" w:hAnsi="Times New Roman"/>
          <w:sz w:val="24"/>
        </w:rPr>
        <w:t>The Carbon Analytics Engine is available at /analytics – it shows multi-year trends for the entire 68-month time-series cube, as seen in Figure 4.3.</w:t>
      </w:r>
    </w:p>
    <w:p w14:paraId="06CB88DF" w14:textId="77777777" w:rsidR="00D42293" w:rsidRDefault="00000000">
      <w:pPr>
        <w:spacing w:before="160" w:after="80"/>
        <w:jc w:val="center"/>
      </w:pPr>
      <w:r>
        <w:rPr>
          <w:noProof/>
        </w:rPr>
        <w:drawing>
          <wp:inline distT="0" distB="0" distL="0" distR="0" wp14:anchorId="2E00927D" wp14:editId="67009B0D">
            <wp:extent cx="5303520" cy="26919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nalytics_Engine.png"/>
                    <pic:cNvPicPr/>
                  </pic:nvPicPr>
                  <pic:blipFill>
                    <a:blip r:embed="rId27"/>
                    <a:stretch>
                      <a:fillRect/>
                    </a:stretch>
                  </pic:blipFill>
                  <pic:spPr>
                    <a:xfrm>
                      <a:off x="0" y="0"/>
                      <a:ext cx="5303520" cy="2691917"/>
                    </a:xfrm>
                    <a:prstGeom prst="rect">
                      <a:avLst/>
                    </a:prstGeom>
                  </pic:spPr>
                </pic:pic>
              </a:graphicData>
            </a:graphic>
          </wp:inline>
        </w:drawing>
      </w:r>
    </w:p>
    <w:p w14:paraId="494E964C" w14:textId="77777777" w:rsidR="00D42293" w:rsidRDefault="00000000">
      <w:pPr>
        <w:spacing w:before="40" w:after="160"/>
        <w:jc w:val="center"/>
      </w:pPr>
      <w:r>
        <w:rPr>
          <w:rFonts w:ascii="Times New Roman" w:hAnsi="Times New Roman"/>
          <w:i/>
          <w:color w:val="505050"/>
          <w:sz w:val="20"/>
        </w:rPr>
        <w:t>Figure 4.3: The Carbon Analytics Engine illustrating multi-year temporal trends and sequestration forecasting.</w:t>
      </w:r>
    </w:p>
    <w:p w14:paraId="66E8BFCB" w14:textId="041EE9B5" w:rsidR="00D42293" w:rsidRDefault="0098009C">
      <w:pPr>
        <w:spacing w:after="120" w:line="360" w:lineRule="exact"/>
        <w:jc w:val="both"/>
      </w:pPr>
      <w:r w:rsidRPr="0098009C">
        <w:rPr>
          <w:rFonts w:ascii="Times New Roman" w:hAnsi="Times New Roman"/>
          <w:sz w:val="24"/>
        </w:rPr>
        <w:lastRenderedPageBreak/>
        <w:t xml:space="preserve">Figure 4.3 shows the Carbon Analytics Engine. It visualizes the </w:t>
      </w:r>
      <w:r w:rsidR="00502CE8">
        <w:rPr>
          <w:rFonts w:ascii="Times New Roman" w:hAnsi="Times New Roman"/>
          <w:sz w:val="24"/>
        </w:rPr>
        <w:t>2026-Q1</w:t>
      </w:r>
      <w:r w:rsidRPr="0098009C">
        <w:rPr>
          <w:rFonts w:ascii="Times New Roman" w:hAnsi="Times New Roman"/>
          <w:sz w:val="24"/>
        </w:rPr>
        <w:t xml:space="preserve"> carbon sequestration amount for the entire period under analysis (2021–2026). It also highlights the seasonal patterns, namely the winter-spring rise in photosynthesis and the following summer slump. The shaded areas represent the 95% confidence interval for the predictions, illustrating how uncertainty grows for the further months ahead.</w:t>
      </w:r>
    </w:p>
    <w:p w14:paraId="0A12B4F4" w14:textId="77777777" w:rsidR="00D42293" w:rsidRDefault="00000000">
      <w:pPr>
        <w:keepNext/>
        <w:spacing w:before="280" w:after="120"/>
      </w:pPr>
      <w:r>
        <w:rPr>
          <w:rFonts w:ascii="Times New Roman" w:hAnsi="Times New Roman"/>
          <w:b/>
          <w:color w:val="005078"/>
          <w:sz w:val="26"/>
        </w:rPr>
        <w:t>4.6 Dual Alert Engine: Anomaly Detection &amp; Threat Prediction</w:t>
      </w:r>
    </w:p>
    <w:p w14:paraId="0AB49ED4" w14:textId="090A8C74" w:rsidR="00D42293" w:rsidRDefault="00000000">
      <w:pPr>
        <w:spacing w:after="120" w:line="360" w:lineRule="exact"/>
        <w:jc w:val="both"/>
      </w:pPr>
      <w:r>
        <w:rPr>
          <w:rFonts w:ascii="Times New Roman" w:hAnsi="Times New Roman"/>
          <w:sz w:val="24"/>
        </w:rPr>
        <w:t>T</w:t>
      </w:r>
      <w:r w:rsidR="0098009C" w:rsidRPr="0098009C">
        <w:rPr>
          <w:rFonts w:ascii="Times New Roman" w:hAnsi="Times New Roman"/>
          <w:sz w:val="24"/>
        </w:rPr>
        <w:t>o ensure VM0033-compliant perpetual carbon sequestration, the MCIP platform has a Dual Alert Engine. It has two modes: the Historical Anomaly Detection and the Future Threats Prediction, shown in Figures 4.4 and 4.5 below.</w:t>
      </w:r>
    </w:p>
    <w:p w14:paraId="4E3DE89B" w14:textId="77777777" w:rsidR="00D42293" w:rsidRDefault="00000000">
      <w:pPr>
        <w:spacing w:before="160" w:after="80"/>
        <w:jc w:val="center"/>
      </w:pPr>
      <w:r>
        <w:rPr>
          <w:noProof/>
        </w:rPr>
        <w:drawing>
          <wp:inline distT="0" distB="0" distL="0" distR="0" wp14:anchorId="1D49332B" wp14:editId="1C3CAC40">
            <wp:extent cx="5303520" cy="27044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System_Alerts.png"/>
                    <pic:cNvPicPr/>
                  </pic:nvPicPr>
                  <pic:blipFill>
                    <a:blip r:embed="rId28"/>
                    <a:stretch>
                      <a:fillRect/>
                    </a:stretch>
                  </pic:blipFill>
                  <pic:spPr>
                    <a:xfrm>
                      <a:off x="0" y="0"/>
                      <a:ext cx="5303520" cy="2704462"/>
                    </a:xfrm>
                    <a:prstGeom prst="rect">
                      <a:avLst/>
                    </a:prstGeom>
                  </pic:spPr>
                </pic:pic>
              </a:graphicData>
            </a:graphic>
          </wp:inline>
        </w:drawing>
      </w:r>
    </w:p>
    <w:p w14:paraId="381167FD" w14:textId="77777777" w:rsidR="00D42293" w:rsidRDefault="00000000">
      <w:pPr>
        <w:spacing w:before="40" w:after="160"/>
        <w:jc w:val="center"/>
      </w:pPr>
      <w:r>
        <w:rPr>
          <w:rFonts w:ascii="Times New Roman" w:hAnsi="Times New Roman"/>
          <w:i/>
          <w:color w:val="505050"/>
          <w:sz w:val="20"/>
        </w:rPr>
        <w:t>Figure 4.4: Real-Time System Alerts interface tracking active, under investigation, and resolved anomalies.</w:t>
      </w:r>
    </w:p>
    <w:p w14:paraId="0ECF1B0C" w14:textId="496B071C" w:rsidR="00D42293" w:rsidRDefault="0098009C">
      <w:pPr>
        <w:spacing w:after="120" w:line="360" w:lineRule="exact"/>
        <w:jc w:val="both"/>
      </w:pPr>
      <w:r w:rsidRPr="0098009C">
        <w:rPr>
          <w:rFonts w:ascii="Times New Roman" w:hAnsi="Times New Roman"/>
          <w:sz w:val="24"/>
        </w:rPr>
        <w:t>Figure 4.4 shows the System Alerts interface (/alert). The Historical Alert Engine scans every incoming monthly snapshot against the ST-GNN forecasts, flagging significant discrepancies as anomalies. Depending on the deviation’s direction and magnitude, alerts 1</w:t>
      </w:r>
      <w:r w:rsidR="00502CE8">
        <w:rPr>
          <w:rFonts w:ascii="Times New Roman" w:hAnsi="Times New Roman"/>
          <w:sz w:val="24"/>
        </w:rPr>
        <w:t>-</w:t>
      </w:r>
      <w:r w:rsidRPr="0098009C">
        <w:rPr>
          <w:rFonts w:ascii="Times New Roman" w:hAnsi="Times New Roman"/>
          <w:sz w:val="24"/>
        </w:rPr>
        <w:t>3 are issued (with 1 being the lowest and 3 the highest priority). The interface shows past alerts, allowing the Ministry of Climate Change &amp; Environment (MOCCAE) rangers to review the triggered automated responses and dispatch inspection teams to the location specified by the anomalous patch’s GPS coordinates.</w:t>
      </w:r>
    </w:p>
    <w:p w14:paraId="3A4D4F6F" w14:textId="77777777" w:rsidR="00D42293" w:rsidRDefault="00000000">
      <w:pPr>
        <w:spacing w:before="160" w:after="80"/>
        <w:jc w:val="center"/>
      </w:pPr>
      <w:r>
        <w:rPr>
          <w:noProof/>
        </w:rPr>
        <w:lastRenderedPageBreak/>
        <w:drawing>
          <wp:inline distT="0" distB="0" distL="0" distR="0" wp14:anchorId="5EA8CC7E" wp14:editId="0CB9F54A">
            <wp:extent cx="5303520" cy="26947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Featured_Alerts.png"/>
                    <pic:cNvPicPr/>
                  </pic:nvPicPr>
                  <pic:blipFill>
                    <a:blip r:embed="rId29"/>
                    <a:stretch>
                      <a:fillRect/>
                    </a:stretch>
                  </pic:blipFill>
                  <pic:spPr>
                    <a:xfrm>
                      <a:off x="0" y="0"/>
                      <a:ext cx="5303520" cy="2694777"/>
                    </a:xfrm>
                    <a:prstGeom prst="rect">
                      <a:avLst/>
                    </a:prstGeom>
                  </pic:spPr>
                </pic:pic>
              </a:graphicData>
            </a:graphic>
          </wp:inline>
        </w:drawing>
      </w:r>
    </w:p>
    <w:p w14:paraId="42ED3861" w14:textId="77777777" w:rsidR="00D42293" w:rsidRDefault="00000000">
      <w:pPr>
        <w:spacing w:before="40" w:after="160"/>
        <w:jc w:val="center"/>
      </w:pPr>
      <w:r>
        <w:rPr>
          <w:rFonts w:ascii="Times New Roman" w:hAnsi="Times New Roman"/>
          <w:i/>
          <w:color w:val="505050"/>
          <w:sz w:val="20"/>
        </w:rPr>
        <w:t>Figure 4.5: Featured Threat Alerts console displaying proactive environmental risk warnings and mitigation workflows.</w:t>
      </w:r>
    </w:p>
    <w:p w14:paraId="2198C006" w14:textId="45F7CF1E" w:rsidR="00D42293" w:rsidRDefault="00A76DAB">
      <w:pPr>
        <w:spacing w:after="120" w:line="360" w:lineRule="exact"/>
        <w:jc w:val="both"/>
      </w:pPr>
      <w:r w:rsidRPr="00A76DAB">
        <w:rPr>
          <w:rFonts w:ascii="Times New Roman" w:hAnsi="Times New Roman"/>
          <w:sz w:val="24"/>
        </w:rPr>
        <w:t>Figure 4.5 shows the Featured Threats interface (/threats). The Future Alert Engine ingests the 7-day weather forecast from the OpenWeatherMap API, screening it for extreme weather events. If such occurrences are predicted to take place near any mangrove patches, the system issues a warning, suggesting mitigation measures MOCCAE rangers might consider to prevent tree losses.</w:t>
      </w:r>
    </w:p>
    <w:p w14:paraId="7C0B7766" w14:textId="77777777" w:rsidR="00D42293" w:rsidRDefault="00000000">
      <w:pPr>
        <w:keepNext/>
        <w:spacing w:before="280" w:after="120"/>
      </w:pPr>
      <w:r>
        <w:rPr>
          <w:rFonts w:ascii="Times New Roman" w:hAnsi="Times New Roman"/>
          <w:b/>
          <w:color w:val="005078"/>
          <w:sz w:val="26"/>
        </w:rPr>
        <w:t>4.7 Explainable AI (XAI) Engine &amp; Gemini 2.5 Flash Auditing Suite</w:t>
      </w:r>
    </w:p>
    <w:p w14:paraId="0ECB55A5" w14:textId="5BE8EE68" w:rsidR="00A76DAB" w:rsidRPr="00A76DAB" w:rsidRDefault="00000000">
      <w:pPr>
        <w:spacing w:after="120" w:line="360" w:lineRule="exact"/>
        <w:jc w:val="both"/>
        <w:rPr>
          <w:rFonts w:ascii="Times New Roman" w:hAnsi="Times New Roman"/>
          <w:sz w:val="24"/>
        </w:rPr>
      </w:pPr>
      <w:r>
        <w:rPr>
          <w:rFonts w:ascii="Times New Roman" w:hAnsi="Times New Roman"/>
          <w:sz w:val="24"/>
        </w:rPr>
        <w:t xml:space="preserve">To </w:t>
      </w:r>
      <w:r w:rsidR="00A76DAB" w:rsidRPr="00A76DAB">
        <w:rPr>
          <w:rFonts w:ascii="Times New Roman" w:hAnsi="Times New Roman"/>
          <w:sz w:val="24"/>
        </w:rPr>
        <w:t>satisfy international auditors, the MCIP platform has an integrated Explainable AI assistant available at /xai, shown in Figure 4.6 below</w:t>
      </w:r>
      <w:r w:rsidR="00A76DAB">
        <w:rPr>
          <w:rFonts w:ascii="Times New Roman" w:hAnsi="Times New Roman"/>
          <w:sz w:val="24"/>
        </w:rPr>
        <w:t>.</w:t>
      </w:r>
    </w:p>
    <w:p w14:paraId="4B793073" w14:textId="77777777" w:rsidR="00D42293" w:rsidRDefault="00000000">
      <w:pPr>
        <w:spacing w:before="160" w:after="80"/>
        <w:jc w:val="center"/>
      </w:pPr>
      <w:r>
        <w:rPr>
          <w:noProof/>
        </w:rPr>
        <w:drawing>
          <wp:inline distT="0" distB="0" distL="0" distR="0" wp14:anchorId="5503C07E" wp14:editId="0BFC8CD9">
            <wp:extent cx="5303520" cy="26794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XAI.png"/>
                    <pic:cNvPicPr/>
                  </pic:nvPicPr>
                  <pic:blipFill>
                    <a:blip r:embed="rId30"/>
                    <a:stretch>
                      <a:fillRect/>
                    </a:stretch>
                  </pic:blipFill>
                  <pic:spPr>
                    <a:xfrm>
                      <a:off x="0" y="0"/>
                      <a:ext cx="5303520" cy="2679498"/>
                    </a:xfrm>
                    <a:prstGeom prst="rect">
                      <a:avLst/>
                    </a:prstGeom>
                  </pic:spPr>
                </pic:pic>
              </a:graphicData>
            </a:graphic>
          </wp:inline>
        </w:drawing>
      </w:r>
    </w:p>
    <w:p w14:paraId="03447C41" w14:textId="77777777" w:rsidR="00D42293" w:rsidRDefault="00000000">
      <w:pPr>
        <w:spacing w:before="40" w:after="160"/>
        <w:jc w:val="center"/>
      </w:pPr>
      <w:r>
        <w:rPr>
          <w:rFonts w:ascii="Times New Roman" w:hAnsi="Times New Roman"/>
          <w:i/>
          <w:color w:val="505050"/>
          <w:sz w:val="20"/>
        </w:rPr>
        <w:lastRenderedPageBreak/>
        <w:t>Figure 4.6: Auditor-ready Explainable AI (XAI) conversational drawer powered by Google Genkit and Gemini 2.5 Flash.</w:t>
      </w:r>
    </w:p>
    <w:p w14:paraId="755F803C" w14:textId="73A23928" w:rsidR="00D42293" w:rsidRDefault="00A76DAB">
      <w:pPr>
        <w:spacing w:after="120" w:line="360" w:lineRule="exact"/>
        <w:jc w:val="both"/>
      </w:pPr>
      <w:r w:rsidRPr="00A76DAB">
        <w:rPr>
          <w:rFonts w:ascii="Times New Roman" w:hAnsi="Times New Roman"/>
          <w:sz w:val="24"/>
        </w:rPr>
        <w:t>Figure 4.6 shows the XAI module’s auditor interface. It allows the auditors to ask questions about any given patch prediction (e.g., “Explain why Patch 04 decreased by 14% in August 2024”). The XAI engine queries the SHAP values from the ST-GNN and cross-references them with the historical weather data to provide an evidence chain. The Google Genkit then converts this information into natural language for the auditor, stating: “Patch 04 had a 14% decrease in sequestration; according to the SHAP explanation, it was caused by SAR moisture depletion (65%), which the weather records confirm by showing 14 consecutive days of &gt;46C heatwave”). Notably, the backend features retry-after-http-5xx logic to handle Google Gemini API’s rate-limiting issues.</w:t>
      </w:r>
    </w:p>
    <w:p w14:paraId="6BC76798" w14:textId="77777777" w:rsidR="00D42293" w:rsidRDefault="00000000">
      <w:pPr>
        <w:keepNext/>
        <w:spacing w:before="280" w:after="120"/>
      </w:pPr>
      <w:r>
        <w:rPr>
          <w:rFonts w:ascii="Times New Roman" w:hAnsi="Times New Roman"/>
          <w:b/>
          <w:color w:val="005078"/>
          <w:sz w:val="26"/>
        </w:rPr>
        <w:t>4.8 Automated Compliance Reports Engine</w:t>
      </w:r>
    </w:p>
    <w:p w14:paraId="5BDE356B" w14:textId="00ABDA78" w:rsidR="00D42293" w:rsidRDefault="00A76DAB">
      <w:pPr>
        <w:spacing w:after="120" w:line="360" w:lineRule="exact"/>
        <w:jc w:val="both"/>
      </w:pPr>
      <w:r w:rsidRPr="00A76DAB">
        <w:rPr>
          <w:rFonts w:ascii="Times New Roman" w:hAnsi="Times New Roman"/>
          <w:sz w:val="24"/>
        </w:rPr>
        <w:t>To reduce the administrative burden on project managers, the Reports Engine was developed, available at /reports, shown in Figure 4.7 below.</w:t>
      </w:r>
    </w:p>
    <w:p w14:paraId="76B425CE" w14:textId="77777777" w:rsidR="00D42293" w:rsidRDefault="00000000">
      <w:pPr>
        <w:spacing w:before="160" w:after="80"/>
        <w:jc w:val="center"/>
      </w:pPr>
      <w:r>
        <w:rPr>
          <w:noProof/>
        </w:rPr>
        <w:drawing>
          <wp:inline distT="0" distB="0" distL="0" distR="0" wp14:anchorId="72B429F6" wp14:editId="04BAA700">
            <wp:extent cx="5303520" cy="26974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Reports.png"/>
                    <pic:cNvPicPr/>
                  </pic:nvPicPr>
                  <pic:blipFill>
                    <a:blip r:embed="rId31"/>
                    <a:stretch>
                      <a:fillRect/>
                    </a:stretch>
                  </pic:blipFill>
                  <pic:spPr>
                    <a:xfrm>
                      <a:off x="0" y="0"/>
                      <a:ext cx="5303520" cy="2697408"/>
                    </a:xfrm>
                    <a:prstGeom prst="rect">
                      <a:avLst/>
                    </a:prstGeom>
                  </pic:spPr>
                </pic:pic>
              </a:graphicData>
            </a:graphic>
          </wp:inline>
        </w:drawing>
      </w:r>
    </w:p>
    <w:p w14:paraId="781B4B2A" w14:textId="77777777" w:rsidR="00D42293" w:rsidRDefault="00000000">
      <w:pPr>
        <w:spacing w:before="40" w:after="160"/>
        <w:jc w:val="center"/>
      </w:pPr>
      <w:r>
        <w:rPr>
          <w:rFonts w:ascii="Times New Roman" w:hAnsi="Times New Roman"/>
          <w:i/>
          <w:color w:val="505050"/>
          <w:sz w:val="20"/>
        </w:rPr>
        <w:t>Figure 4.7: Automated Compliance Report Generation interface for international carbon registries.</w:t>
      </w:r>
    </w:p>
    <w:p w14:paraId="4A1F89DC" w14:textId="3F6BB25A" w:rsidR="00D42293" w:rsidRDefault="00A76DAB">
      <w:pPr>
        <w:spacing w:after="120" w:line="360" w:lineRule="exact"/>
        <w:jc w:val="both"/>
      </w:pPr>
      <w:r w:rsidRPr="00A76DAB">
        <w:rPr>
          <w:rFonts w:ascii="Times New Roman" w:hAnsi="Times New Roman"/>
          <w:sz w:val="24"/>
        </w:rPr>
        <w:t>Figure 4.7 shows the Reports Engine interface. It allows the project managers to select the reporting period and portfolio of patches, after which it auto-generates a report in PDF or Excel format. This way, it adheres to VM0033, IPCC Tier 2, and other international carbon accounting frameworks, significantly reducing the preparation time from months to mere minutes.</w:t>
      </w:r>
    </w:p>
    <w:p w14:paraId="36F8A3A6" w14:textId="77777777" w:rsidR="00D42293" w:rsidRDefault="00000000">
      <w:pPr>
        <w:keepNext/>
        <w:spacing w:before="280" w:after="120"/>
      </w:pPr>
      <w:r>
        <w:rPr>
          <w:rFonts w:ascii="Times New Roman" w:hAnsi="Times New Roman"/>
          <w:b/>
          <w:color w:val="005078"/>
          <w:sz w:val="26"/>
        </w:rPr>
        <w:lastRenderedPageBreak/>
        <w:t>4.9 UAE National Carbon Registry &amp; Corporate ESG Communities</w:t>
      </w:r>
    </w:p>
    <w:p w14:paraId="7BAAF244" w14:textId="04FFB868" w:rsidR="00D42293" w:rsidRDefault="00A76DAB">
      <w:pPr>
        <w:spacing w:after="120" w:line="360" w:lineRule="exact"/>
        <w:jc w:val="both"/>
      </w:pPr>
      <w:r w:rsidRPr="00A76DAB">
        <w:rPr>
          <w:rFonts w:ascii="Times New Roman" w:hAnsi="Times New Roman"/>
          <w:sz w:val="24"/>
        </w:rPr>
        <w:t>Finally, the UAE Registry (/registry) and ESG Communities (/communities) modules serve as the nexus connecting the UAE carbon marketplaces with verified carbon funds, as seen in Figures 4.8 and 4.9 below.</w:t>
      </w:r>
    </w:p>
    <w:p w14:paraId="681D082C" w14:textId="77777777" w:rsidR="00D42293" w:rsidRDefault="00000000">
      <w:pPr>
        <w:spacing w:before="160" w:after="80"/>
        <w:jc w:val="center"/>
      </w:pPr>
      <w:r>
        <w:rPr>
          <w:noProof/>
        </w:rPr>
        <w:drawing>
          <wp:inline distT="0" distB="0" distL="0" distR="0" wp14:anchorId="07A55C62" wp14:editId="6DD5C39C">
            <wp:extent cx="5303520" cy="26934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UAE_Registry.png"/>
                    <pic:cNvPicPr/>
                  </pic:nvPicPr>
                  <pic:blipFill>
                    <a:blip r:embed="rId32"/>
                    <a:stretch>
                      <a:fillRect/>
                    </a:stretch>
                  </pic:blipFill>
                  <pic:spPr>
                    <a:xfrm>
                      <a:off x="0" y="0"/>
                      <a:ext cx="5303520" cy="2693411"/>
                    </a:xfrm>
                    <a:prstGeom prst="rect">
                      <a:avLst/>
                    </a:prstGeom>
                  </pic:spPr>
                </pic:pic>
              </a:graphicData>
            </a:graphic>
          </wp:inline>
        </w:drawing>
      </w:r>
    </w:p>
    <w:p w14:paraId="3CCF685C" w14:textId="77777777" w:rsidR="00D42293" w:rsidRDefault="00000000">
      <w:pPr>
        <w:spacing w:before="40" w:after="160"/>
        <w:jc w:val="center"/>
      </w:pPr>
      <w:r>
        <w:rPr>
          <w:rFonts w:ascii="Times New Roman" w:hAnsi="Times New Roman"/>
          <w:i/>
          <w:color w:val="505050"/>
          <w:sz w:val="20"/>
        </w:rPr>
        <w:t>Figure 4.8: The UAE National Carbon Registry interface displaying verified blue carbon credit portfolios.</w:t>
      </w:r>
    </w:p>
    <w:p w14:paraId="17EDD813" w14:textId="41185AC7" w:rsidR="00A76DAB" w:rsidRPr="00A76DAB" w:rsidRDefault="00A76DAB" w:rsidP="00A76DAB">
      <w:pPr>
        <w:spacing w:after="120" w:line="360" w:lineRule="exact"/>
        <w:jc w:val="both"/>
        <w:rPr>
          <w:rFonts w:ascii="Times New Roman" w:hAnsi="Times New Roman"/>
          <w:sz w:val="24"/>
        </w:rPr>
      </w:pPr>
      <w:r w:rsidRPr="00A76DAB">
        <w:rPr>
          <w:rFonts w:ascii="Times New Roman" w:hAnsi="Times New Roman"/>
          <w:sz w:val="24"/>
        </w:rPr>
        <w:t>Figure 4.8 shows the Carbon Registry interface. It contains all verified carbon credit assets, each with a unique digital serial number, indicating the year of verification, polygon details, amount of CO2e sequestered, and its status (Internal → MOCCAE Verified → International Transfer). This way, it complies with the Paris Agreement’s Article 6.2 and prevents double-counting of carbon credits.</w:t>
      </w:r>
    </w:p>
    <w:p w14:paraId="7BE36C3B" w14:textId="1A8707E7" w:rsidR="00D42293" w:rsidRDefault="00D42293">
      <w:pPr>
        <w:spacing w:after="120" w:line="360" w:lineRule="exact"/>
        <w:jc w:val="both"/>
      </w:pPr>
    </w:p>
    <w:p w14:paraId="5EBC1954" w14:textId="77777777" w:rsidR="00D42293" w:rsidRDefault="00000000">
      <w:pPr>
        <w:spacing w:before="160" w:after="80"/>
        <w:jc w:val="center"/>
      </w:pPr>
      <w:r>
        <w:rPr>
          <w:noProof/>
        </w:rPr>
        <w:lastRenderedPageBreak/>
        <w:drawing>
          <wp:inline distT="0" distB="0" distL="0" distR="0" wp14:anchorId="3CBE37BA" wp14:editId="686C9E61">
            <wp:extent cx="5303520" cy="26974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ESG_Communities.png"/>
                    <pic:cNvPicPr/>
                  </pic:nvPicPr>
                  <pic:blipFill>
                    <a:blip r:embed="rId33"/>
                    <a:stretch>
                      <a:fillRect/>
                    </a:stretch>
                  </pic:blipFill>
                  <pic:spPr>
                    <a:xfrm>
                      <a:off x="0" y="0"/>
                      <a:ext cx="5303520" cy="2697408"/>
                    </a:xfrm>
                    <a:prstGeom prst="rect">
                      <a:avLst/>
                    </a:prstGeom>
                  </pic:spPr>
                </pic:pic>
              </a:graphicData>
            </a:graphic>
          </wp:inline>
        </w:drawing>
      </w:r>
    </w:p>
    <w:p w14:paraId="71249C21" w14:textId="77777777" w:rsidR="00D42293" w:rsidRDefault="00000000">
      <w:pPr>
        <w:spacing w:before="40" w:after="160"/>
        <w:jc w:val="center"/>
      </w:pPr>
      <w:r>
        <w:rPr>
          <w:rFonts w:ascii="Times New Roman" w:hAnsi="Times New Roman"/>
          <w:i/>
          <w:color w:val="505050"/>
          <w:sz w:val="20"/>
        </w:rPr>
        <w:t>Figure 4.9: Corporate ESG Communities portal enabling institutional stakeholders to sponsor and verify mangrove restoration.</w:t>
      </w:r>
    </w:p>
    <w:p w14:paraId="24869E6B" w14:textId="5142E620" w:rsidR="00D42293" w:rsidRDefault="00A76DAB">
      <w:pPr>
        <w:spacing w:after="120" w:line="360" w:lineRule="exact"/>
        <w:jc w:val="both"/>
      </w:pPr>
      <w:r w:rsidRPr="00A76DAB">
        <w:rPr>
          <w:rFonts w:ascii="Times New Roman" w:hAnsi="Times New Roman"/>
          <w:sz w:val="24"/>
        </w:rPr>
        <w:t>Figure 4.9 shows the ESG Communities interface. It allows the corporate sponsors (airlines, shipping companies, conglomerates, etc.) to view the sponsorships and track the verified carbon drawdown of the selected mangrove plots.</w:t>
      </w:r>
      <w:r w:rsidR="00005C46">
        <w:rPr>
          <w:rFonts w:ascii="Times New Roman" w:hAnsi="Times New Roman"/>
          <w:sz w:val="24"/>
        </w:rPr>
        <w:t>But as of now the data in the figure is simulated.</w:t>
      </w:r>
    </w:p>
    <w:p w14:paraId="5B782F3C" w14:textId="77777777" w:rsidR="00D42293" w:rsidRDefault="00000000">
      <w:r>
        <w:br w:type="page"/>
      </w:r>
    </w:p>
    <w:p w14:paraId="2CB8EBC3" w14:textId="77777777" w:rsidR="00D42293" w:rsidRDefault="00000000">
      <w:pPr>
        <w:keepNext/>
        <w:spacing w:before="360" w:after="240"/>
      </w:pPr>
      <w:r>
        <w:rPr>
          <w:rFonts w:ascii="Times New Roman" w:hAnsi="Times New Roman"/>
          <w:b/>
          <w:color w:val="003366"/>
          <w:sz w:val="32"/>
        </w:rPr>
        <w:lastRenderedPageBreak/>
        <w:t>Chapter 5: Experimental Evaluation, Results and Critical Discussion</w:t>
      </w:r>
    </w:p>
    <w:p w14:paraId="4D395EF2" w14:textId="77777777" w:rsidR="00D42293" w:rsidRDefault="00000000">
      <w:pPr>
        <w:keepNext/>
        <w:spacing w:before="280" w:after="120"/>
      </w:pPr>
      <w:r>
        <w:rPr>
          <w:rFonts w:ascii="Times New Roman" w:hAnsi="Times New Roman"/>
          <w:b/>
          <w:color w:val="005078"/>
          <w:sz w:val="26"/>
        </w:rPr>
        <w:t>5.1 Stage 1 Pixel Classification Performance &amp; Confusion Analysis</w:t>
      </w:r>
    </w:p>
    <w:p w14:paraId="2CFC5237" w14:textId="4029D778" w:rsidR="00D42293" w:rsidRDefault="007A372E">
      <w:pPr>
        <w:spacing w:after="120" w:line="360" w:lineRule="exact"/>
        <w:jc w:val="both"/>
      </w:pPr>
      <w:r w:rsidRPr="007A372E">
        <w:rPr>
          <w:rFonts w:ascii="Times New Roman" w:hAnsi="Times New Roman"/>
          <w:sz w:val="24"/>
        </w:rPr>
        <w:t>The experimental evaluation of MCIP begins with the Stage 1 Deep ANN pixel classification engine that isolates the verified mangrove mask across the UAE coast. The model was trained on the class-balanced dataset (balanced via RandomUnderSampler to eliminate sand and water majority bias) and evaluated on an independent, temporally held-out test partition comprising 20% of the co-registered corpus. Quantitative performance metrics across all five land-cover classes are reported in Table 5.1.</w:t>
      </w:r>
    </w:p>
    <w:p w14:paraId="66EADBD3" w14:textId="77777777" w:rsidR="00D42293" w:rsidRDefault="00000000">
      <w:pPr>
        <w:spacing w:before="200" w:after="80"/>
      </w:pPr>
      <w:r>
        <w:rPr>
          <w:rFonts w:ascii="Times New Roman" w:hAnsi="Times New Roman"/>
          <w:b/>
          <w:color w:val="1E1E1E"/>
        </w:rPr>
        <w:t>Table 5.1: Stage 1 Deep ANN Pixel Classification Performance Metrics on Test Partition.</w:t>
      </w:r>
    </w:p>
    <w:tbl>
      <w:tblPr>
        <w:tblStyle w:val="TableGrid"/>
        <w:tblW w:w="0" w:type="auto"/>
        <w:jc w:val="center"/>
        <w:tblLook w:val="04A0" w:firstRow="1" w:lastRow="0" w:firstColumn="1" w:lastColumn="0" w:noHBand="0" w:noVBand="1"/>
      </w:tblPr>
      <w:tblGrid>
        <w:gridCol w:w="2291"/>
        <w:gridCol w:w="1332"/>
        <w:gridCol w:w="1273"/>
        <w:gridCol w:w="1273"/>
        <w:gridCol w:w="1528"/>
        <w:gridCol w:w="1519"/>
      </w:tblGrid>
      <w:tr w:rsidR="00D42293" w14:paraId="5CFE77C8" w14:textId="77777777">
        <w:trPr>
          <w:jc w:val="center"/>
        </w:trPr>
        <w:tc>
          <w:tcPr>
            <w:tcW w:w="2592" w:type="dxa"/>
            <w:shd w:val="clear" w:color="auto" w:fill="E6ECF2"/>
          </w:tcPr>
          <w:p w14:paraId="5B00114E" w14:textId="77777777" w:rsidR="00D42293" w:rsidRDefault="00000000">
            <w:pPr>
              <w:jc w:val="center"/>
            </w:pPr>
            <w:r>
              <w:rPr>
                <w:rFonts w:ascii="Times New Roman" w:hAnsi="Times New Roman"/>
                <w:b/>
                <w:color w:val="003366"/>
                <w:sz w:val="20"/>
              </w:rPr>
              <w:t>Land-Cover Category</w:t>
            </w:r>
          </w:p>
        </w:tc>
        <w:tc>
          <w:tcPr>
            <w:tcW w:w="1440" w:type="dxa"/>
            <w:shd w:val="clear" w:color="auto" w:fill="E6ECF2"/>
          </w:tcPr>
          <w:p w14:paraId="2CA4CD81" w14:textId="77777777" w:rsidR="00D42293" w:rsidRDefault="00000000">
            <w:pPr>
              <w:jc w:val="center"/>
            </w:pPr>
            <w:r>
              <w:rPr>
                <w:rFonts w:ascii="Times New Roman" w:hAnsi="Times New Roman"/>
                <w:b/>
                <w:color w:val="003366"/>
                <w:sz w:val="20"/>
              </w:rPr>
              <w:t>Precision</w:t>
            </w:r>
          </w:p>
        </w:tc>
        <w:tc>
          <w:tcPr>
            <w:tcW w:w="1440" w:type="dxa"/>
            <w:shd w:val="clear" w:color="auto" w:fill="E6ECF2"/>
          </w:tcPr>
          <w:p w14:paraId="496CA47B" w14:textId="77777777" w:rsidR="00D42293" w:rsidRDefault="00000000">
            <w:pPr>
              <w:jc w:val="center"/>
            </w:pPr>
            <w:r>
              <w:rPr>
                <w:rFonts w:ascii="Times New Roman" w:hAnsi="Times New Roman"/>
                <w:b/>
                <w:color w:val="003366"/>
                <w:sz w:val="20"/>
              </w:rPr>
              <w:t>Recall</w:t>
            </w:r>
          </w:p>
        </w:tc>
        <w:tc>
          <w:tcPr>
            <w:tcW w:w="1440" w:type="dxa"/>
            <w:shd w:val="clear" w:color="auto" w:fill="E6ECF2"/>
          </w:tcPr>
          <w:p w14:paraId="67EEDB9F" w14:textId="77777777" w:rsidR="00D42293" w:rsidRDefault="00000000">
            <w:pPr>
              <w:jc w:val="center"/>
            </w:pPr>
            <w:r>
              <w:rPr>
                <w:rFonts w:ascii="Times New Roman" w:hAnsi="Times New Roman"/>
                <w:b/>
                <w:color w:val="003366"/>
                <w:sz w:val="20"/>
              </w:rPr>
              <w:t>F1-Score</w:t>
            </w:r>
          </w:p>
        </w:tc>
        <w:tc>
          <w:tcPr>
            <w:tcW w:w="1728" w:type="dxa"/>
            <w:shd w:val="clear" w:color="auto" w:fill="E6ECF2"/>
          </w:tcPr>
          <w:p w14:paraId="516C53E7" w14:textId="77777777" w:rsidR="00D42293" w:rsidRDefault="00000000">
            <w:pPr>
              <w:jc w:val="center"/>
            </w:pPr>
            <w:r>
              <w:rPr>
                <w:rFonts w:ascii="Times New Roman" w:hAnsi="Times New Roman"/>
                <w:b/>
                <w:color w:val="003366"/>
                <w:sz w:val="20"/>
              </w:rPr>
              <w:t>Support (Test Pixels)</w:t>
            </w:r>
          </w:p>
        </w:tc>
        <w:tc>
          <w:tcPr>
            <w:tcW w:w="1728" w:type="dxa"/>
            <w:shd w:val="clear" w:color="auto" w:fill="E6ECF2"/>
          </w:tcPr>
          <w:p w14:paraId="43DBA966" w14:textId="77777777" w:rsidR="00D42293" w:rsidRDefault="00000000">
            <w:pPr>
              <w:jc w:val="center"/>
            </w:pPr>
            <w:r>
              <w:rPr>
                <w:rFonts w:ascii="Times New Roman" w:hAnsi="Times New Roman"/>
                <w:b/>
                <w:color w:val="003366"/>
                <w:sz w:val="20"/>
              </w:rPr>
              <w:t>True Positive Rate (%)</w:t>
            </w:r>
          </w:p>
        </w:tc>
      </w:tr>
      <w:tr w:rsidR="00D42293" w14:paraId="1C16C3BA" w14:textId="77777777">
        <w:trPr>
          <w:jc w:val="center"/>
        </w:trPr>
        <w:tc>
          <w:tcPr>
            <w:tcW w:w="2592" w:type="dxa"/>
          </w:tcPr>
          <w:p w14:paraId="294629AC" w14:textId="77777777" w:rsidR="00D42293" w:rsidRDefault="00000000">
            <w:r>
              <w:rPr>
                <w:rFonts w:ascii="Times New Roman" w:hAnsi="Times New Roman"/>
                <w:sz w:val="20"/>
              </w:rPr>
              <w:t>Mangrove (Target Class)</w:t>
            </w:r>
          </w:p>
        </w:tc>
        <w:tc>
          <w:tcPr>
            <w:tcW w:w="1440" w:type="dxa"/>
          </w:tcPr>
          <w:p w14:paraId="03B96230" w14:textId="77777777" w:rsidR="00D42293" w:rsidRDefault="00000000">
            <w:pPr>
              <w:jc w:val="center"/>
            </w:pPr>
            <w:r>
              <w:rPr>
                <w:rFonts w:ascii="Times New Roman" w:hAnsi="Times New Roman"/>
                <w:sz w:val="20"/>
              </w:rPr>
              <w:t>0.9996</w:t>
            </w:r>
          </w:p>
        </w:tc>
        <w:tc>
          <w:tcPr>
            <w:tcW w:w="1440" w:type="dxa"/>
          </w:tcPr>
          <w:p w14:paraId="79F86F7A" w14:textId="77777777" w:rsidR="00D42293" w:rsidRDefault="00000000">
            <w:pPr>
              <w:jc w:val="center"/>
            </w:pPr>
            <w:r>
              <w:rPr>
                <w:rFonts w:ascii="Times New Roman" w:hAnsi="Times New Roman"/>
                <w:sz w:val="20"/>
              </w:rPr>
              <w:t>0.9994</w:t>
            </w:r>
          </w:p>
        </w:tc>
        <w:tc>
          <w:tcPr>
            <w:tcW w:w="1440" w:type="dxa"/>
          </w:tcPr>
          <w:p w14:paraId="4AD98352" w14:textId="77777777" w:rsidR="00D42293" w:rsidRDefault="00000000">
            <w:pPr>
              <w:jc w:val="center"/>
            </w:pPr>
            <w:r>
              <w:rPr>
                <w:rFonts w:ascii="Times New Roman" w:hAnsi="Times New Roman"/>
                <w:sz w:val="20"/>
              </w:rPr>
              <w:t>0.9995</w:t>
            </w:r>
          </w:p>
        </w:tc>
        <w:tc>
          <w:tcPr>
            <w:tcW w:w="1728" w:type="dxa"/>
          </w:tcPr>
          <w:p w14:paraId="158FBF20" w14:textId="77777777" w:rsidR="00D42293" w:rsidRDefault="00000000">
            <w:pPr>
              <w:jc w:val="center"/>
            </w:pPr>
            <w:r>
              <w:rPr>
                <w:rFonts w:ascii="Times New Roman" w:hAnsi="Times New Roman"/>
                <w:sz w:val="20"/>
              </w:rPr>
              <w:t>12,450</w:t>
            </w:r>
          </w:p>
        </w:tc>
        <w:tc>
          <w:tcPr>
            <w:tcW w:w="1728" w:type="dxa"/>
          </w:tcPr>
          <w:p w14:paraId="46A3FC67" w14:textId="77777777" w:rsidR="00D42293" w:rsidRDefault="00000000">
            <w:pPr>
              <w:jc w:val="center"/>
            </w:pPr>
            <w:r>
              <w:rPr>
                <w:rFonts w:ascii="Times New Roman" w:hAnsi="Times New Roman"/>
                <w:sz w:val="20"/>
              </w:rPr>
              <w:t>99.94%</w:t>
            </w:r>
          </w:p>
        </w:tc>
      </w:tr>
      <w:tr w:rsidR="00D42293" w14:paraId="4A4AF9D0" w14:textId="77777777">
        <w:trPr>
          <w:jc w:val="center"/>
        </w:trPr>
        <w:tc>
          <w:tcPr>
            <w:tcW w:w="2592" w:type="dxa"/>
          </w:tcPr>
          <w:p w14:paraId="305F74E9" w14:textId="77777777" w:rsidR="00D42293" w:rsidRDefault="00000000">
            <w:r>
              <w:rPr>
                <w:rFonts w:ascii="Times New Roman" w:hAnsi="Times New Roman"/>
                <w:sz w:val="20"/>
              </w:rPr>
              <w:t>Water (Marine &amp; Tidal)</w:t>
            </w:r>
          </w:p>
        </w:tc>
        <w:tc>
          <w:tcPr>
            <w:tcW w:w="1440" w:type="dxa"/>
          </w:tcPr>
          <w:p w14:paraId="5914ED47" w14:textId="77777777" w:rsidR="00D42293" w:rsidRDefault="00000000">
            <w:pPr>
              <w:jc w:val="center"/>
            </w:pPr>
            <w:r>
              <w:rPr>
                <w:rFonts w:ascii="Times New Roman" w:hAnsi="Times New Roman"/>
                <w:sz w:val="20"/>
              </w:rPr>
              <w:t>0.9998</w:t>
            </w:r>
          </w:p>
        </w:tc>
        <w:tc>
          <w:tcPr>
            <w:tcW w:w="1440" w:type="dxa"/>
          </w:tcPr>
          <w:p w14:paraId="12DFA672" w14:textId="77777777" w:rsidR="00D42293" w:rsidRDefault="00000000">
            <w:pPr>
              <w:jc w:val="center"/>
            </w:pPr>
            <w:r>
              <w:rPr>
                <w:rFonts w:ascii="Times New Roman" w:hAnsi="Times New Roman"/>
                <w:sz w:val="20"/>
              </w:rPr>
              <w:t>0.9997</w:t>
            </w:r>
          </w:p>
        </w:tc>
        <w:tc>
          <w:tcPr>
            <w:tcW w:w="1440" w:type="dxa"/>
          </w:tcPr>
          <w:p w14:paraId="29011B3D" w14:textId="77777777" w:rsidR="00D42293" w:rsidRDefault="00000000">
            <w:pPr>
              <w:jc w:val="center"/>
            </w:pPr>
            <w:r>
              <w:rPr>
                <w:rFonts w:ascii="Times New Roman" w:hAnsi="Times New Roman"/>
                <w:sz w:val="20"/>
              </w:rPr>
              <w:t>0.9997</w:t>
            </w:r>
          </w:p>
        </w:tc>
        <w:tc>
          <w:tcPr>
            <w:tcW w:w="1728" w:type="dxa"/>
          </w:tcPr>
          <w:p w14:paraId="2A7EB300" w14:textId="77777777" w:rsidR="00D42293" w:rsidRDefault="00000000">
            <w:pPr>
              <w:jc w:val="center"/>
            </w:pPr>
            <w:r>
              <w:rPr>
                <w:rFonts w:ascii="Times New Roman" w:hAnsi="Times New Roman"/>
                <w:sz w:val="20"/>
              </w:rPr>
              <w:t>12,500</w:t>
            </w:r>
          </w:p>
        </w:tc>
        <w:tc>
          <w:tcPr>
            <w:tcW w:w="1728" w:type="dxa"/>
          </w:tcPr>
          <w:p w14:paraId="59A5D78C" w14:textId="77777777" w:rsidR="00D42293" w:rsidRDefault="00000000">
            <w:pPr>
              <w:jc w:val="center"/>
            </w:pPr>
            <w:r>
              <w:rPr>
                <w:rFonts w:ascii="Times New Roman" w:hAnsi="Times New Roman"/>
                <w:sz w:val="20"/>
              </w:rPr>
              <w:t>99.97%</w:t>
            </w:r>
          </w:p>
        </w:tc>
      </w:tr>
      <w:tr w:rsidR="00D42293" w14:paraId="2F1E94EA" w14:textId="77777777">
        <w:trPr>
          <w:jc w:val="center"/>
        </w:trPr>
        <w:tc>
          <w:tcPr>
            <w:tcW w:w="2592" w:type="dxa"/>
          </w:tcPr>
          <w:p w14:paraId="395E863E" w14:textId="77777777" w:rsidR="00D42293" w:rsidRDefault="00000000">
            <w:r>
              <w:rPr>
                <w:rFonts w:ascii="Times New Roman" w:hAnsi="Times New Roman"/>
                <w:sz w:val="20"/>
              </w:rPr>
              <w:t>Sand (Coastal Dunes &amp; Sabkha)</w:t>
            </w:r>
          </w:p>
        </w:tc>
        <w:tc>
          <w:tcPr>
            <w:tcW w:w="1440" w:type="dxa"/>
          </w:tcPr>
          <w:p w14:paraId="7A50BEA7" w14:textId="77777777" w:rsidR="00D42293" w:rsidRDefault="00000000">
            <w:pPr>
              <w:jc w:val="center"/>
            </w:pPr>
            <w:r>
              <w:rPr>
                <w:rFonts w:ascii="Times New Roman" w:hAnsi="Times New Roman"/>
                <w:sz w:val="20"/>
              </w:rPr>
              <w:t>0.9995</w:t>
            </w:r>
          </w:p>
        </w:tc>
        <w:tc>
          <w:tcPr>
            <w:tcW w:w="1440" w:type="dxa"/>
          </w:tcPr>
          <w:p w14:paraId="06AF0D79" w14:textId="77777777" w:rsidR="00D42293" w:rsidRDefault="00000000">
            <w:pPr>
              <w:jc w:val="center"/>
            </w:pPr>
            <w:r>
              <w:rPr>
                <w:rFonts w:ascii="Times New Roman" w:hAnsi="Times New Roman"/>
                <w:sz w:val="20"/>
              </w:rPr>
              <w:t>0.9996</w:t>
            </w:r>
          </w:p>
        </w:tc>
        <w:tc>
          <w:tcPr>
            <w:tcW w:w="1440" w:type="dxa"/>
          </w:tcPr>
          <w:p w14:paraId="04A497BA" w14:textId="77777777" w:rsidR="00D42293" w:rsidRDefault="00000000">
            <w:pPr>
              <w:jc w:val="center"/>
            </w:pPr>
            <w:r>
              <w:rPr>
                <w:rFonts w:ascii="Times New Roman" w:hAnsi="Times New Roman"/>
                <w:sz w:val="20"/>
              </w:rPr>
              <w:t>0.9995</w:t>
            </w:r>
          </w:p>
        </w:tc>
        <w:tc>
          <w:tcPr>
            <w:tcW w:w="1728" w:type="dxa"/>
          </w:tcPr>
          <w:p w14:paraId="395D79F6" w14:textId="77777777" w:rsidR="00D42293" w:rsidRDefault="00000000">
            <w:pPr>
              <w:jc w:val="center"/>
            </w:pPr>
            <w:r>
              <w:rPr>
                <w:rFonts w:ascii="Times New Roman" w:hAnsi="Times New Roman"/>
                <w:sz w:val="20"/>
              </w:rPr>
              <w:t>12,480</w:t>
            </w:r>
          </w:p>
        </w:tc>
        <w:tc>
          <w:tcPr>
            <w:tcW w:w="1728" w:type="dxa"/>
          </w:tcPr>
          <w:p w14:paraId="521C9F78" w14:textId="77777777" w:rsidR="00D42293" w:rsidRDefault="00000000">
            <w:pPr>
              <w:jc w:val="center"/>
            </w:pPr>
            <w:r>
              <w:rPr>
                <w:rFonts w:ascii="Times New Roman" w:hAnsi="Times New Roman"/>
                <w:sz w:val="20"/>
              </w:rPr>
              <w:t>99.96%</w:t>
            </w:r>
          </w:p>
        </w:tc>
      </w:tr>
      <w:tr w:rsidR="00D42293" w14:paraId="5F1C3046" w14:textId="77777777">
        <w:trPr>
          <w:jc w:val="center"/>
        </w:trPr>
        <w:tc>
          <w:tcPr>
            <w:tcW w:w="2592" w:type="dxa"/>
          </w:tcPr>
          <w:p w14:paraId="43439213" w14:textId="77777777" w:rsidR="00D42293" w:rsidRDefault="00000000">
            <w:r>
              <w:rPr>
                <w:rFonts w:ascii="Times New Roman" w:hAnsi="Times New Roman"/>
                <w:sz w:val="20"/>
              </w:rPr>
              <w:t>Urban (Built Infrastructure)</w:t>
            </w:r>
          </w:p>
        </w:tc>
        <w:tc>
          <w:tcPr>
            <w:tcW w:w="1440" w:type="dxa"/>
          </w:tcPr>
          <w:p w14:paraId="1247BE2B" w14:textId="77777777" w:rsidR="00D42293" w:rsidRDefault="00000000">
            <w:pPr>
              <w:jc w:val="center"/>
            </w:pPr>
            <w:r>
              <w:rPr>
                <w:rFonts w:ascii="Times New Roman" w:hAnsi="Times New Roman"/>
                <w:sz w:val="20"/>
              </w:rPr>
              <w:t>0.9992</w:t>
            </w:r>
          </w:p>
        </w:tc>
        <w:tc>
          <w:tcPr>
            <w:tcW w:w="1440" w:type="dxa"/>
          </w:tcPr>
          <w:p w14:paraId="6557343C" w14:textId="77777777" w:rsidR="00D42293" w:rsidRDefault="00000000">
            <w:pPr>
              <w:jc w:val="center"/>
            </w:pPr>
            <w:r>
              <w:rPr>
                <w:rFonts w:ascii="Times New Roman" w:hAnsi="Times New Roman"/>
                <w:sz w:val="20"/>
              </w:rPr>
              <w:t>0.9991</w:t>
            </w:r>
          </w:p>
        </w:tc>
        <w:tc>
          <w:tcPr>
            <w:tcW w:w="1440" w:type="dxa"/>
          </w:tcPr>
          <w:p w14:paraId="5D7BDFFA" w14:textId="77777777" w:rsidR="00D42293" w:rsidRDefault="00000000">
            <w:pPr>
              <w:jc w:val="center"/>
            </w:pPr>
            <w:r>
              <w:rPr>
                <w:rFonts w:ascii="Times New Roman" w:hAnsi="Times New Roman"/>
                <w:sz w:val="20"/>
              </w:rPr>
              <w:t>0.9991</w:t>
            </w:r>
          </w:p>
        </w:tc>
        <w:tc>
          <w:tcPr>
            <w:tcW w:w="1728" w:type="dxa"/>
          </w:tcPr>
          <w:p w14:paraId="744C4F29" w14:textId="77777777" w:rsidR="00D42293" w:rsidRDefault="00000000">
            <w:pPr>
              <w:jc w:val="center"/>
            </w:pPr>
            <w:r>
              <w:rPr>
                <w:rFonts w:ascii="Times New Roman" w:hAnsi="Times New Roman"/>
                <w:sz w:val="20"/>
              </w:rPr>
              <w:t>12,420</w:t>
            </w:r>
          </w:p>
        </w:tc>
        <w:tc>
          <w:tcPr>
            <w:tcW w:w="1728" w:type="dxa"/>
          </w:tcPr>
          <w:p w14:paraId="2E85D3D4" w14:textId="77777777" w:rsidR="00D42293" w:rsidRDefault="00000000">
            <w:pPr>
              <w:jc w:val="center"/>
            </w:pPr>
            <w:r>
              <w:rPr>
                <w:rFonts w:ascii="Times New Roman" w:hAnsi="Times New Roman"/>
                <w:sz w:val="20"/>
              </w:rPr>
              <w:t>99.91%</w:t>
            </w:r>
          </w:p>
        </w:tc>
      </w:tr>
      <w:tr w:rsidR="00D42293" w14:paraId="6FADF384" w14:textId="77777777">
        <w:trPr>
          <w:jc w:val="center"/>
        </w:trPr>
        <w:tc>
          <w:tcPr>
            <w:tcW w:w="2592" w:type="dxa"/>
          </w:tcPr>
          <w:p w14:paraId="5774D97A" w14:textId="77777777" w:rsidR="00D42293" w:rsidRDefault="00000000">
            <w:r>
              <w:rPr>
                <w:rFonts w:ascii="Times New Roman" w:hAnsi="Times New Roman"/>
                <w:sz w:val="20"/>
              </w:rPr>
              <w:t>Inland Forest (Terrestrial Parks)</w:t>
            </w:r>
          </w:p>
        </w:tc>
        <w:tc>
          <w:tcPr>
            <w:tcW w:w="1440" w:type="dxa"/>
          </w:tcPr>
          <w:p w14:paraId="38C7F450" w14:textId="77777777" w:rsidR="00D42293" w:rsidRDefault="00000000">
            <w:pPr>
              <w:jc w:val="center"/>
            </w:pPr>
            <w:r>
              <w:rPr>
                <w:rFonts w:ascii="Times New Roman" w:hAnsi="Times New Roman"/>
                <w:sz w:val="20"/>
              </w:rPr>
              <w:t>0.9989</w:t>
            </w:r>
          </w:p>
        </w:tc>
        <w:tc>
          <w:tcPr>
            <w:tcW w:w="1440" w:type="dxa"/>
          </w:tcPr>
          <w:p w14:paraId="69F4767B" w14:textId="77777777" w:rsidR="00D42293" w:rsidRDefault="00000000">
            <w:pPr>
              <w:jc w:val="center"/>
            </w:pPr>
            <w:r>
              <w:rPr>
                <w:rFonts w:ascii="Times New Roman" w:hAnsi="Times New Roman"/>
                <w:sz w:val="20"/>
              </w:rPr>
              <w:t>0.9991</w:t>
            </w:r>
          </w:p>
        </w:tc>
        <w:tc>
          <w:tcPr>
            <w:tcW w:w="1440" w:type="dxa"/>
          </w:tcPr>
          <w:p w14:paraId="62722938" w14:textId="77777777" w:rsidR="00D42293" w:rsidRDefault="00000000">
            <w:pPr>
              <w:jc w:val="center"/>
            </w:pPr>
            <w:r>
              <w:rPr>
                <w:rFonts w:ascii="Times New Roman" w:hAnsi="Times New Roman"/>
                <w:sz w:val="20"/>
              </w:rPr>
              <w:t>0.9990</w:t>
            </w:r>
          </w:p>
        </w:tc>
        <w:tc>
          <w:tcPr>
            <w:tcW w:w="1728" w:type="dxa"/>
          </w:tcPr>
          <w:p w14:paraId="50A42FB2" w14:textId="77777777" w:rsidR="00D42293" w:rsidRDefault="00000000">
            <w:pPr>
              <w:jc w:val="center"/>
            </w:pPr>
            <w:r>
              <w:rPr>
                <w:rFonts w:ascii="Times New Roman" w:hAnsi="Times New Roman"/>
                <w:sz w:val="20"/>
              </w:rPr>
              <w:t>12,460</w:t>
            </w:r>
          </w:p>
        </w:tc>
        <w:tc>
          <w:tcPr>
            <w:tcW w:w="1728" w:type="dxa"/>
          </w:tcPr>
          <w:p w14:paraId="45C69E26" w14:textId="77777777" w:rsidR="00D42293" w:rsidRDefault="00000000">
            <w:pPr>
              <w:jc w:val="center"/>
            </w:pPr>
            <w:r>
              <w:rPr>
                <w:rFonts w:ascii="Times New Roman" w:hAnsi="Times New Roman"/>
                <w:sz w:val="20"/>
              </w:rPr>
              <w:t>99.91%</w:t>
            </w:r>
          </w:p>
        </w:tc>
      </w:tr>
      <w:tr w:rsidR="00D42293" w14:paraId="13D5E84C" w14:textId="77777777">
        <w:trPr>
          <w:jc w:val="center"/>
        </w:trPr>
        <w:tc>
          <w:tcPr>
            <w:tcW w:w="2592" w:type="dxa"/>
          </w:tcPr>
          <w:p w14:paraId="7F63F560" w14:textId="77777777" w:rsidR="00D42293" w:rsidRDefault="00000000">
            <w:r>
              <w:rPr>
                <w:rFonts w:ascii="Times New Roman" w:hAnsi="Times New Roman"/>
                <w:sz w:val="20"/>
              </w:rPr>
              <w:t>Macro Average / Overall</w:t>
            </w:r>
          </w:p>
        </w:tc>
        <w:tc>
          <w:tcPr>
            <w:tcW w:w="1440" w:type="dxa"/>
          </w:tcPr>
          <w:p w14:paraId="38C96FC4" w14:textId="77777777" w:rsidR="00D42293" w:rsidRDefault="00000000">
            <w:pPr>
              <w:jc w:val="center"/>
            </w:pPr>
            <w:r>
              <w:rPr>
                <w:rFonts w:ascii="Times New Roman" w:hAnsi="Times New Roman"/>
                <w:sz w:val="20"/>
              </w:rPr>
              <w:t>0.9994</w:t>
            </w:r>
          </w:p>
        </w:tc>
        <w:tc>
          <w:tcPr>
            <w:tcW w:w="1440" w:type="dxa"/>
          </w:tcPr>
          <w:p w14:paraId="22D190D7" w14:textId="77777777" w:rsidR="00D42293" w:rsidRDefault="00000000">
            <w:pPr>
              <w:jc w:val="center"/>
            </w:pPr>
            <w:r>
              <w:rPr>
                <w:rFonts w:ascii="Times New Roman" w:hAnsi="Times New Roman"/>
                <w:sz w:val="20"/>
              </w:rPr>
              <w:t>0.9994</w:t>
            </w:r>
          </w:p>
        </w:tc>
        <w:tc>
          <w:tcPr>
            <w:tcW w:w="1440" w:type="dxa"/>
          </w:tcPr>
          <w:p w14:paraId="5CAE4B64" w14:textId="77777777" w:rsidR="00D42293" w:rsidRDefault="00000000">
            <w:pPr>
              <w:jc w:val="center"/>
            </w:pPr>
            <w:r>
              <w:rPr>
                <w:rFonts w:ascii="Times New Roman" w:hAnsi="Times New Roman"/>
                <w:sz w:val="20"/>
              </w:rPr>
              <w:t>0.9994</w:t>
            </w:r>
          </w:p>
        </w:tc>
        <w:tc>
          <w:tcPr>
            <w:tcW w:w="1728" w:type="dxa"/>
          </w:tcPr>
          <w:p w14:paraId="258F1984" w14:textId="77777777" w:rsidR="00D42293" w:rsidRDefault="00000000">
            <w:pPr>
              <w:jc w:val="center"/>
            </w:pPr>
            <w:r>
              <w:rPr>
                <w:rFonts w:ascii="Times New Roman" w:hAnsi="Times New Roman"/>
                <w:sz w:val="20"/>
              </w:rPr>
              <w:t>62,310</w:t>
            </w:r>
          </w:p>
        </w:tc>
        <w:tc>
          <w:tcPr>
            <w:tcW w:w="1728" w:type="dxa"/>
          </w:tcPr>
          <w:p w14:paraId="7DD29CCA" w14:textId="77777777" w:rsidR="00D42293" w:rsidRDefault="00000000">
            <w:pPr>
              <w:jc w:val="center"/>
            </w:pPr>
            <w:r>
              <w:rPr>
                <w:rFonts w:ascii="Times New Roman" w:hAnsi="Times New Roman"/>
                <w:sz w:val="20"/>
              </w:rPr>
              <w:t>99.94%</w:t>
            </w:r>
          </w:p>
        </w:tc>
      </w:tr>
    </w:tbl>
    <w:p w14:paraId="103D6947" w14:textId="77777777" w:rsidR="00D42293" w:rsidRDefault="00D42293">
      <w:pPr>
        <w:spacing w:before="40" w:after="120"/>
      </w:pPr>
    </w:p>
    <w:p w14:paraId="6E1FDAF0" w14:textId="709E6F49" w:rsidR="007A372E" w:rsidRPr="007A372E" w:rsidRDefault="007A372E" w:rsidP="007A372E">
      <w:pPr>
        <w:spacing w:after="120" w:line="360" w:lineRule="exact"/>
        <w:jc w:val="both"/>
        <w:rPr>
          <w:rFonts w:ascii="Times New Roman" w:hAnsi="Times New Roman"/>
          <w:sz w:val="24"/>
          <w:lang w:val="en-IN"/>
        </w:rPr>
      </w:pPr>
      <w:r w:rsidRPr="007A372E">
        <w:rPr>
          <w:rFonts w:ascii="Times New Roman" w:hAnsi="Times New Roman"/>
          <w:sz w:val="24"/>
          <w:lang w:val="en-IN"/>
        </w:rPr>
        <w:t>As evidenced by Table 5.1 and the confusion matrix in Figure 3.11, the deep ANN achieved phenomenal discriminative stability. The target Mangrove class attained a precision of 0.9996 and recall of 0.9994 corresponding to an F1-score of 0.9995. The overall test accuracy of 99.95% with optimal validation loss of 0.00073 (7.3685e-04) restored from epoch 6 (Figure 3.10). Out of 12,450 test mangrove pixels, only seven were confused with terrestrial forest and zero were confused with urban infrastructure or open water.</w:t>
      </w:r>
    </w:p>
    <w:p w14:paraId="571F1F59" w14:textId="77777777" w:rsidR="007A372E" w:rsidRPr="007A372E" w:rsidRDefault="007A372E" w:rsidP="007A372E">
      <w:pPr>
        <w:spacing w:after="120" w:line="360" w:lineRule="exact"/>
        <w:jc w:val="both"/>
        <w:rPr>
          <w:rFonts w:ascii="Times New Roman" w:hAnsi="Times New Roman"/>
          <w:sz w:val="24"/>
          <w:lang w:val="en-IN"/>
        </w:rPr>
      </w:pPr>
      <w:r w:rsidRPr="007A372E">
        <w:rPr>
          <w:rFonts w:ascii="Times New Roman" w:hAnsi="Times New Roman"/>
          <w:sz w:val="24"/>
          <w:lang w:val="en-IN"/>
        </w:rPr>
        <w:t>This exceptional performance demonstrates that the combination of Sentinel-2 red-edge vegetation indices (B05, B06, B07, B8A) and Sentinel-1 cross-polarised C-band SAR backscatter (VH and the VV/VH volumetric ratio) completely resolves the spectral confusion that historically plagued optical-only classifiers in arid coastal environments. The resulting spatial mask reliably isolates 3,230 pure mangrove coordinate points across the UAE.</w:t>
      </w:r>
    </w:p>
    <w:p w14:paraId="5A09B447" w14:textId="60028467" w:rsidR="00D42293" w:rsidRDefault="00D42293">
      <w:pPr>
        <w:spacing w:after="120" w:line="360" w:lineRule="exact"/>
        <w:jc w:val="both"/>
      </w:pPr>
    </w:p>
    <w:p w14:paraId="4155E29B" w14:textId="77777777" w:rsidR="00D42293" w:rsidRDefault="00000000">
      <w:pPr>
        <w:keepNext/>
        <w:spacing w:before="280" w:after="120"/>
      </w:pPr>
      <w:r>
        <w:rPr>
          <w:rFonts w:ascii="Times New Roman" w:hAnsi="Times New Roman"/>
          <w:b/>
          <w:color w:val="005078"/>
          <w:sz w:val="26"/>
        </w:rPr>
        <w:lastRenderedPageBreak/>
        <w:t>5.2 Stage 3 NASA GEDI Neural Imputation Model Evaluation</w:t>
      </w:r>
    </w:p>
    <w:p w14:paraId="16E333D8" w14:textId="4AB712B8" w:rsidR="00D42293" w:rsidRDefault="007A372E">
      <w:pPr>
        <w:spacing w:after="120" w:line="360" w:lineRule="exact"/>
        <w:jc w:val="both"/>
      </w:pPr>
      <w:r w:rsidRPr="007A372E">
        <w:rPr>
          <w:rFonts w:ascii="Times New Roman" w:hAnsi="Times New Roman"/>
          <w:sz w:val="24"/>
        </w:rPr>
        <w:t>The second empirical milestone evaluated is the multi-target neural imputation engine that was developed to overcome NASA GEDI's orbital sparsity across the Arabian Gulf. Transfer learning was evaluated by pre-training on 84,200 co-registered Sentinel-GEDI points from the equatorial Sundarbans forest in Bangladesh, followed by fine-tuning on the sparse UAE GEDI returns. Table 5.2 benchmarks the neural imputation network against two industry baselines: Ordinary Least Squares Linear Regression (LR) and Gradient-Boosted Decision Trees (XGBoost), across all eight GEDI structural target variables.</w:t>
      </w:r>
    </w:p>
    <w:p w14:paraId="2548AFA6" w14:textId="77777777" w:rsidR="00D42293" w:rsidRDefault="00000000">
      <w:pPr>
        <w:spacing w:before="200" w:after="80"/>
      </w:pPr>
      <w:r>
        <w:rPr>
          <w:rFonts w:ascii="Times New Roman" w:hAnsi="Times New Roman"/>
          <w:b/>
          <w:color w:val="1E1E1E"/>
        </w:rPr>
        <w:t>Table 5.2: Stage 3 NASA GEDI Neural Imputation Validation Results across 8 Structural Parameters.</w:t>
      </w:r>
    </w:p>
    <w:tbl>
      <w:tblPr>
        <w:tblStyle w:val="TableGrid"/>
        <w:tblW w:w="0" w:type="auto"/>
        <w:jc w:val="center"/>
        <w:tblLook w:val="04A0" w:firstRow="1" w:lastRow="0" w:firstColumn="1" w:lastColumn="0" w:noHBand="0" w:noVBand="1"/>
      </w:tblPr>
      <w:tblGrid>
        <w:gridCol w:w="2379"/>
        <w:gridCol w:w="1460"/>
        <w:gridCol w:w="1416"/>
        <w:gridCol w:w="1470"/>
        <w:gridCol w:w="1470"/>
        <w:gridCol w:w="1021"/>
      </w:tblGrid>
      <w:tr w:rsidR="00D42293" w14:paraId="62A512F5" w14:textId="77777777">
        <w:trPr>
          <w:jc w:val="center"/>
        </w:trPr>
        <w:tc>
          <w:tcPr>
            <w:tcW w:w="2880" w:type="dxa"/>
            <w:shd w:val="clear" w:color="auto" w:fill="E6ECF2"/>
          </w:tcPr>
          <w:p w14:paraId="70874666" w14:textId="77777777" w:rsidR="00D42293" w:rsidRDefault="00000000">
            <w:pPr>
              <w:jc w:val="center"/>
            </w:pPr>
            <w:r>
              <w:rPr>
                <w:rFonts w:ascii="Times New Roman" w:hAnsi="Times New Roman"/>
                <w:b/>
                <w:color w:val="003366"/>
                <w:sz w:val="20"/>
              </w:rPr>
              <w:t>GEDI Structural Target</w:t>
            </w:r>
          </w:p>
        </w:tc>
        <w:tc>
          <w:tcPr>
            <w:tcW w:w="1584" w:type="dxa"/>
            <w:shd w:val="clear" w:color="auto" w:fill="E6ECF2"/>
          </w:tcPr>
          <w:p w14:paraId="10A4A1C1" w14:textId="77777777" w:rsidR="00D42293" w:rsidRDefault="00000000">
            <w:pPr>
              <w:jc w:val="center"/>
            </w:pPr>
            <w:r>
              <w:rPr>
                <w:rFonts w:ascii="Times New Roman" w:hAnsi="Times New Roman"/>
                <w:b/>
                <w:color w:val="003366"/>
                <w:sz w:val="20"/>
              </w:rPr>
              <w:t>Linear Regression (RMSE)</w:t>
            </w:r>
          </w:p>
        </w:tc>
        <w:tc>
          <w:tcPr>
            <w:tcW w:w="1584" w:type="dxa"/>
            <w:shd w:val="clear" w:color="auto" w:fill="E6ECF2"/>
          </w:tcPr>
          <w:p w14:paraId="16DE35C5" w14:textId="77777777" w:rsidR="00D42293" w:rsidRDefault="00000000">
            <w:pPr>
              <w:jc w:val="center"/>
            </w:pPr>
            <w:r>
              <w:rPr>
                <w:rFonts w:ascii="Times New Roman" w:hAnsi="Times New Roman"/>
                <w:b/>
                <w:color w:val="003366"/>
                <w:sz w:val="20"/>
              </w:rPr>
              <w:t>XGBoost (RMSE)</w:t>
            </w:r>
          </w:p>
        </w:tc>
        <w:tc>
          <w:tcPr>
            <w:tcW w:w="1584" w:type="dxa"/>
            <w:shd w:val="clear" w:color="auto" w:fill="E6ECF2"/>
          </w:tcPr>
          <w:p w14:paraId="65C17312" w14:textId="77777777" w:rsidR="00D42293" w:rsidRDefault="00000000">
            <w:pPr>
              <w:jc w:val="center"/>
            </w:pPr>
            <w:r>
              <w:rPr>
                <w:rFonts w:ascii="Times New Roman" w:hAnsi="Times New Roman"/>
                <w:b/>
                <w:color w:val="003366"/>
                <w:sz w:val="20"/>
              </w:rPr>
              <w:t>Neural Imputation (RMSE)</w:t>
            </w:r>
          </w:p>
        </w:tc>
        <w:tc>
          <w:tcPr>
            <w:tcW w:w="1584" w:type="dxa"/>
            <w:shd w:val="clear" w:color="auto" w:fill="E6ECF2"/>
          </w:tcPr>
          <w:p w14:paraId="496875B2" w14:textId="77777777" w:rsidR="00D42293" w:rsidRDefault="00000000">
            <w:pPr>
              <w:jc w:val="center"/>
            </w:pPr>
            <w:r>
              <w:rPr>
                <w:rFonts w:ascii="Times New Roman" w:hAnsi="Times New Roman"/>
                <w:b/>
                <w:color w:val="003366"/>
                <w:sz w:val="20"/>
              </w:rPr>
              <w:t>Neural Imputation (MSE)</w:t>
            </w:r>
          </w:p>
        </w:tc>
        <w:tc>
          <w:tcPr>
            <w:tcW w:w="1152" w:type="dxa"/>
            <w:shd w:val="clear" w:color="auto" w:fill="E6ECF2"/>
          </w:tcPr>
          <w:p w14:paraId="477806AE" w14:textId="77777777" w:rsidR="00D42293" w:rsidRDefault="00000000">
            <w:pPr>
              <w:jc w:val="center"/>
            </w:pPr>
            <w:r>
              <w:rPr>
                <w:rFonts w:ascii="Times New Roman" w:hAnsi="Times New Roman"/>
                <w:b/>
                <w:color w:val="003366"/>
                <w:sz w:val="20"/>
              </w:rPr>
              <w:t>R² Score</w:t>
            </w:r>
          </w:p>
        </w:tc>
      </w:tr>
      <w:tr w:rsidR="00D42293" w14:paraId="5C5B2C05" w14:textId="77777777">
        <w:trPr>
          <w:jc w:val="center"/>
        </w:trPr>
        <w:tc>
          <w:tcPr>
            <w:tcW w:w="2880" w:type="dxa"/>
          </w:tcPr>
          <w:p w14:paraId="71D5215C" w14:textId="77777777" w:rsidR="00D42293" w:rsidRDefault="00000000">
            <w:r>
              <w:rPr>
                <w:rFonts w:ascii="Times New Roman" w:hAnsi="Times New Roman"/>
                <w:sz w:val="20"/>
              </w:rPr>
              <w:t>RH100 (Max Canopy Height, m)</w:t>
            </w:r>
          </w:p>
        </w:tc>
        <w:tc>
          <w:tcPr>
            <w:tcW w:w="1584" w:type="dxa"/>
          </w:tcPr>
          <w:p w14:paraId="186DB6E4" w14:textId="77777777" w:rsidR="00D42293" w:rsidRDefault="00000000">
            <w:pPr>
              <w:jc w:val="center"/>
            </w:pPr>
            <w:r>
              <w:rPr>
                <w:rFonts w:ascii="Times New Roman" w:hAnsi="Times New Roman"/>
                <w:sz w:val="20"/>
              </w:rPr>
              <w:t>5.82 m</w:t>
            </w:r>
          </w:p>
        </w:tc>
        <w:tc>
          <w:tcPr>
            <w:tcW w:w="1584" w:type="dxa"/>
          </w:tcPr>
          <w:p w14:paraId="440E1508" w14:textId="77777777" w:rsidR="00D42293" w:rsidRDefault="00000000">
            <w:pPr>
              <w:jc w:val="center"/>
            </w:pPr>
            <w:r>
              <w:rPr>
                <w:rFonts w:ascii="Times New Roman" w:hAnsi="Times New Roman"/>
                <w:sz w:val="20"/>
              </w:rPr>
              <w:t>4.15 m</w:t>
            </w:r>
          </w:p>
        </w:tc>
        <w:tc>
          <w:tcPr>
            <w:tcW w:w="1584" w:type="dxa"/>
          </w:tcPr>
          <w:p w14:paraId="6B49A354" w14:textId="77777777" w:rsidR="00D42293" w:rsidRDefault="00000000">
            <w:pPr>
              <w:jc w:val="center"/>
            </w:pPr>
            <w:r>
              <w:rPr>
                <w:rFonts w:ascii="Times New Roman" w:hAnsi="Times New Roman"/>
                <w:sz w:val="20"/>
              </w:rPr>
              <w:t>3.13 m</w:t>
            </w:r>
          </w:p>
        </w:tc>
        <w:tc>
          <w:tcPr>
            <w:tcW w:w="1584" w:type="dxa"/>
          </w:tcPr>
          <w:p w14:paraId="030BBC0A" w14:textId="77777777" w:rsidR="00D42293" w:rsidRDefault="00000000">
            <w:pPr>
              <w:jc w:val="center"/>
            </w:pPr>
            <w:r>
              <w:rPr>
                <w:rFonts w:ascii="Times New Roman" w:hAnsi="Times New Roman"/>
                <w:sz w:val="20"/>
              </w:rPr>
              <w:t>9.81</w:t>
            </w:r>
          </w:p>
        </w:tc>
        <w:tc>
          <w:tcPr>
            <w:tcW w:w="1152" w:type="dxa"/>
          </w:tcPr>
          <w:p w14:paraId="74397C1C" w14:textId="77777777" w:rsidR="00D42293" w:rsidRDefault="00000000">
            <w:pPr>
              <w:jc w:val="center"/>
            </w:pPr>
            <w:r>
              <w:rPr>
                <w:rFonts w:ascii="Times New Roman" w:hAnsi="Times New Roman"/>
                <w:sz w:val="20"/>
              </w:rPr>
              <w:t>0.842</w:t>
            </w:r>
          </w:p>
        </w:tc>
      </w:tr>
      <w:tr w:rsidR="00D42293" w14:paraId="64A29CB1" w14:textId="77777777">
        <w:trPr>
          <w:jc w:val="center"/>
        </w:trPr>
        <w:tc>
          <w:tcPr>
            <w:tcW w:w="2880" w:type="dxa"/>
          </w:tcPr>
          <w:p w14:paraId="30B49150" w14:textId="77777777" w:rsidR="00D42293" w:rsidRDefault="00000000">
            <w:r>
              <w:rPr>
                <w:rFonts w:ascii="Times New Roman" w:hAnsi="Times New Roman"/>
                <w:sz w:val="20"/>
              </w:rPr>
              <w:t>RH98 (98th Percentile Height, m)</w:t>
            </w:r>
          </w:p>
        </w:tc>
        <w:tc>
          <w:tcPr>
            <w:tcW w:w="1584" w:type="dxa"/>
          </w:tcPr>
          <w:p w14:paraId="1A376735" w14:textId="77777777" w:rsidR="00D42293" w:rsidRDefault="00000000">
            <w:pPr>
              <w:jc w:val="center"/>
            </w:pPr>
            <w:r>
              <w:rPr>
                <w:rFonts w:ascii="Times New Roman" w:hAnsi="Times New Roman"/>
                <w:sz w:val="20"/>
              </w:rPr>
              <w:t>5.45 m</w:t>
            </w:r>
          </w:p>
        </w:tc>
        <w:tc>
          <w:tcPr>
            <w:tcW w:w="1584" w:type="dxa"/>
          </w:tcPr>
          <w:p w14:paraId="5A7F181F" w14:textId="77777777" w:rsidR="00D42293" w:rsidRDefault="00000000">
            <w:pPr>
              <w:jc w:val="center"/>
            </w:pPr>
            <w:r>
              <w:rPr>
                <w:rFonts w:ascii="Times New Roman" w:hAnsi="Times New Roman"/>
                <w:sz w:val="20"/>
              </w:rPr>
              <w:t>3.92 m</w:t>
            </w:r>
          </w:p>
        </w:tc>
        <w:tc>
          <w:tcPr>
            <w:tcW w:w="1584" w:type="dxa"/>
          </w:tcPr>
          <w:p w14:paraId="58CD3C1F" w14:textId="77777777" w:rsidR="00D42293" w:rsidRDefault="00000000">
            <w:pPr>
              <w:jc w:val="center"/>
            </w:pPr>
            <w:r>
              <w:rPr>
                <w:rFonts w:ascii="Times New Roman" w:hAnsi="Times New Roman"/>
                <w:sz w:val="20"/>
              </w:rPr>
              <w:t>2.98 m</w:t>
            </w:r>
          </w:p>
        </w:tc>
        <w:tc>
          <w:tcPr>
            <w:tcW w:w="1584" w:type="dxa"/>
          </w:tcPr>
          <w:p w14:paraId="54884974" w14:textId="77777777" w:rsidR="00D42293" w:rsidRDefault="00000000">
            <w:pPr>
              <w:jc w:val="center"/>
            </w:pPr>
            <w:r>
              <w:rPr>
                <w:rFonts w:ascii="Times New Roman" w:hAnsi="Times New Roman"/>
                <w:sz w:val="20"/>
              </w:rPr>
              <w:t>8.88</w:t>
            </w:r>
          </w:p>
        </w:tc>
        <w:tc>
          <w:tcPr>
            <w:tcW w:w="1152" w:type="dxa"/>
          </w:tcPr>
          <w:p w14:paraId="0B76B8F7" w14:textId="77777777" w:rsidR="00D42293" w:rsidRDefault="00000000">
            <w:pPr>
              <w:jc w:val="center"/>
            </w:pPr>
            <w:r>
              <w:rPr>
                <w:rFonts w:ascii="Times New Roman" w:hAnsi="Times New Roman"/>
                <w:sz w:val="20"/>
              </w:rPr>
              <w:t>0.851</w:t>
            </w:r>
          </w:p>
        </w:tc>
      </w:tr>
      <w:tr w:rsidR="00D42293" w14:paraId="23FCDDEA" w14:textId="77777777">
        <w:trPr>
          <w:jc w:val="center"/>
        </w:trPr>
        <w:tc>
          <w:tcPr>
            <w:tcW w:w="2880" w:type="dxa"/>
          </w:tcPr>
          <w:p w14:paraId="4D621EA6" w14:textId="77777777" w:rsidR="00D42293" w:rsidRDefault="00000000">
            <w:r>
              <w:rPr>
                <w:rFonts w:ascii="Times New Roman" w:hAnsi="Times New Roman"/>
                <w:sz w:val="20"/>
              </w:rPr>
              <w:t>RH92 (92nd Percentile Height, m)</w:t>
            </w:r>
          </w:p>
        </w:tc>
        <w:tc>
          <w:tcPr>
            <w:tcW w:w="1584" w:type="dxa"/>
          </w:tcPr>
          <w:p w14:paraId="483E92CE" w14:textId="77777777" w:rsidR="00D42293" w:rsidRDefault="00000000">
            <w:pPr>
              <w:jc w:val="center"/>
            </w:pPr>
            <w:r>
              <w:rPr>
                <w:rFonts w:ascii="Times New Roman" w:hAnsi="Times New Roman"/>
                <w:sz w:val="20"/>
              </w:rPr>
              <w:t>4.98 m</w:t>
            </w:r>
          </w:p>
        </w:tc>
        <w:tc>
          <w:tcPr>
            <w:tcW w:w="1584" w:type="dxa"/>
          </w:tcPr>
          <w:p w14:paraId="2392D423" w14:textId="77777777" w:rsidR="00D42293" w:rsidRDefault="00000000">
            <w:pPr>
              <w:jc w:val="center"/>
            </w:pPr>
            <w:r>
              <w:rPr>
                <w:rFonts w:ascii="Times New Roman" w:hAnsi="Times New Roman"/>
                <w:sz w:val="20"/>
              </w:rPr>
              <w:t>3.61 m</w:t>
            </w:r>
          </w:p>
        </w:tc>
        <w:tc>
          <w:tcPr>
            <w:tcW w:w="1584" w:type="dxa"/>
          </w:tcPr>
          <w:p w14:paraId="52E0FA63" w14:textId="77777777" w:rsidR="00D42293" w:rsidRDefault="00000000">
            <w:pPr>
              <w:jc w:val="center"/>
            </w:pPr>
            <w:r>
              <w:rPr>
                <w:rFonts w:ascii="Times New Roman" w:hAnsi="Times New Roman"/>
                <w:sz w:val="20"/>
              </w:rPr>
              <w:t>2.74 m</w:t>
            </w:r>
          </w:p>
        </w:tc>
        <w:tc>
          <w:tcPr>
            <w:tcW w:w="1584" w:type="dxa"/>
          </w:tcPr>
          <w:p w14:paraId="1BF2803C" w14:textId="77777777" w:rsidR="00D42293" w:rsidRDefault="00000000">
            <w:pPr>
              <w:jc w:val="center"/>
            </w:pPr>
            <w:r>
              <w:rPr>
                <w:rFonts w:ascii="Times New Roman" w:hAnsi="Times New Roman"/>
                <w:sz w:val="20"/>
              </w:rPr>
              <w:t>7.51</w:t>
            </w:r>
          </w:p>
        </w:tc>
        <w:tc>
          <w:tcPr>
            <w:tcW w:w="1152" w:type="dxa"/>
          </w:tcPr>
          <w:p w14:paraId="412E3039" w14:textId="77777777" w:rsidR="00D42293" w:rsidRDefault="00000000">
            <w:pPr>
              <w:jc w:val="center"/>
            </w:pPr>
            <w:r>
              <w:rPr>
                <w:rFonts w:ascii="Times New Roman" w:hAnsi="Times New Roman"/>
                <w:sz w:val="20"/>
              </w:rPr>
              <w:t>0.860</w:t>
            </w:r>
          </w:p>
        </w:tc>
      </w:tr>
      <w:tr w:rsidR="00D42293" w14:paraId="2BEF2026" w14:textId="77777777">
        <w:trPr>
          <w:jc w:val="center"/>
        </w:trPr>
        <w:tc>
          <w:tcPr>
            <w:tcW w:w="2880" w:type="dxa"/>
          </w:tcPr>
          <w:p w14:paraId="36DA205E" w14:textId="77777777" w:rsidR="00D42293" w:rsidRDefault="00000000">
            <w:r>
              <w:rPr>
                <w:rFonts w:ascii="Times New Roman" w:hAnsi="Times New Roman"/>
                <w:sz w:val="20"/>
              </w:rPr>
              <w:t>Ground Elevation (m)</w:t>
            </w:r>
          </w:p>
        </w:tc>
        <w:tc>
          <w:tcPr>
            <w:tcW w:w="1584" w:type="dxa"/>
          </w:tcPr>
          <w:p w14:paraId="69187F20" w14:textId="77777777" w:rsidR="00D42293" w:rsidRDefault="00000000">
            <w:pPr>
              <w:jc w:val="center"/>
            </w:pPr>
            <w:r>
              <w:rPr>
                <w:rFonts w:ascii="Times New Roman" w:hAnsi="Times New Roman"/>
                <w:sz w:val="20"/>
              </w:rPr>
              <w:t>3.12 m</w:t>
            </w:r>
          </w:p>
        </w:tc>
        <w:tc>
          <w:tcPr>
            <w:tcW w:w="1584" w:type="dxa"/>
          </w:tcPr>
          <w:p w14:paraId="6BD1EBAE" w14:textId="77777777" w:rsidR="00D42293" w:rsidRDefault="00000000">
            <w:pPr>
              <w:jc w:val="center"/>
            </w:pPr>
            <w:r>
              <w:rPr>
                <w:rFonts w:ascii="Times New Roman" w:hAnsi="Times New Roman"/>
                <w:sz w:val="20"/>
              </w:rPr>
              <w:t>2.18 m</w:t>
            </w:r>
          </w:p>
        </w:tc>
        <w:tc>
          <w:tcPr>
            <w:tcW w:w="1584" w:type="dxa"/>
          </w:tcPr>
          <w:p w14:paraId="6F4B521E" w14:textId="77777777" w:rsidR="00D42293" w:rsidRDefault="00000000">
            <w:pPr>
              <w:jc w:val="center"/>
            </w:pPr>
            <w:r>
              <w:rPr>
                <w:rFonts w:ascii="Times New Roman" w:hAnsi="Times New Roman"/>
                <w:sz w:val="20"/>
              </w:rPr>
              <w:t>1.65 m</w:t>
            </w:r>
          </w:p>
        </w:tc>
        <w:tc>
          <w:tcPr>
            <w:tcW w:w="1584" w:type="dxa"/>
          </w:tcPr>
          <w:p w14:paraId="379A35EC" w14:textId="77777777" w:rsidR="00D42293" w:rsidRDefault="00000000">
            <w:pPr>
              <w:jc w:val="center"/>
            </w:pPr>
            <w:r>
              <w:rPr>
                <w:rFonts w:ascii="Times New Roman" w:hAnsi="Times New Roman"/>
                <w:sz w:val="20"/>
              </w:rPr>
              <w:t>2.72</w:t>
            </w:r>
          </w:p>
        </w:tc>
        <w:tc>
          <w:tcPr>
            <w:tcW w:w="1152" w:type="dxa"/>
          </w:tcPr>
          <w:p w14:paraId="32135D4D" w14:textId="77777777" w:rsidR="00D42293" w:rsidRDefault="00000000">
            <w:pPr>
              <w:jc w:val="center"/>
            </w:pPr>
            <w:r>
              <w:rPr>
                <w:rFonts w:ascii="Times New Roman" w:hAnsi="Times New Roman"/>
                <w:sz w:val="20"/>
              </w:rPr>
              <w:t>0.884</w:t>
            </w:r>
          </w:p>
        </w:tc>
      </w:tr>
      <w:tr w:rsidR="00D42293" w14:paraId="6E09E276" w14:textId="77777777">
        <w:trPr>
          <w:jc w:val="center"/>
        </w:trPr>
        <w:tc>
          <w:tcPr>
            <w:tcW w:w="2880" w:type="dxa"/>
          </w:tcPr>
          <w:p w14:paraId="0FB12F18" w14:textId="77777777" w:rsidR="00D42293" w:rsidRDefault="00000000">
            <w:r>
              <w:rPr>
                <w:rFonts w:ascii="Times New Roman" w:hAnsi="Times New Roman"/>
                <w:sz w:val="20"/>
              </w:rPr>
              <w:t>Plant Area Index (PAI, m²/m²)</w:t>
            </w:r>
          </w:p>
        </w:tc>
        <w:tc>
          <w:tcPr>
            <w:tcW w:w="1584" w:type="dxa"/>
          </w:tcPr>
          <w:p w14:paraId="1B6864AB" w14:textId="77777777" w:rsidR="00D42293" w:rsidRDefault="00000000">
            <w:pPr>
              <w:jc w:val="center"/>
            </w:pPr>
            <w:r>
              <w:rPr>
                <w:rFonts w:ascii="Times New Roman" w:hAnsi="Times New Roman"/>
                <w:sz w:val="20"/>
              </w:rPr>
              <w:t>0.84</w:t>
            </w:r>
          </w:p>
        </w:tc>
        <w:tc>
          <w:tcPr>
            <w:tcW w:w="1584" w:type="dxa"/>
          </w:tcPr>
          <w:p w14:paraId="0EEAA966" w14:textId="77777777" w:rsidR="00D42293" w:rsidRDefault="00000000">
            <w:pPr>
              <w:jc w:val="center"/>
            </w:pPr>
            <w:r>
              <w:rPr>
                <w:rFonts w:ascii="Times New Roman" w:hAnsi="Times New Roman"/>
                <w:sz w:val="20"/>
              </w:rPr>
              <w:t>0.58</w:t>
            </w:r>
          </w:p>
        </w:tc>
        <w:tc>
          <w:tcPr>
            <w:tcW w:w="1584" w:type="dxa"/>
          </w:tcPr>
          <w:p w14:paraId="5B716726" w14:textId="77777777" w:rsidR="00D42293" w:rsidRDefault="00000000">
            <w:pPr>
              <w:jc w:val="center"/>
            </w:pPr>
            <w:r>
              <w:rPr>
                <w:rFonts w:ascii="Times New Roman" w:hAnsi="Times New Roman"/>
                <w:sz w:val="20"/>
              </w:rPr>
              <w:t>0.39</w:t>
            </w:r>
          </w:p>
        </w:tc>
        <w:tc>
          <w:tcPr>
            <w:tcW w:w="1584" w:type="dxa"/>
          </w:tcPr>
          <w:p w14:paraId="288F0661" w14:textId="77777777" w:rsidR="00D42293" w:rsidRDefault="00000000">
            <w:pPr>
              <w:jc w:val="center"/>
            </w:pPr>
            <w:r>
              <w:rPr>
                <w:rFonts w:ascii="Times New Roman" w:hAnsi="Times New Roman"/>
                <w:sz w:val="20"/>
              </w:rPr>
              <w:t>0.15</w:t>
            </w:r>
          </w:p>
        </w:tc>
        <w:tc>
          <w:tcPr>
            <w:tcW w:w="1152" w:type="dxa"/>
          </w:tcPr>
          <w:p w14:paraId="11F48E75" w14:textId="77777777" w:rsidR="00D42293" w:rsidRDefault="00000000">
            <w:pPr>
              <w:jc w:val="center"/>
            </w:pPr>
            <w:r>
              <w:rPr>
                <w:rFonts w:ascii="Times New Roman" w:hAnsi="Times New Roman"/>
                <w:sz w:val="20"/>
              </w:rPr>
              <w:t>0.812</w:t>
            </w:r>
          </w:p>
        </w:tc>
      </w:tr>
      <w:tr w:rsidR="00D42293" w14:paraId="2B4FFCE5" w14:textId="77777777">
        <w:trPr>
          <w:jc w:val="center"/>
        </w:trPr>
        <w:tc>
          <w:tcPr>
            <w:tcW w:w="2880" w:type="dxa"/>
          </w:tcPr>
          <w:p w14:paraId="0C41BF68" w14:textId="77777777" w:rsidR="00D42293" w:rsidRDefault="00000000">
            <w:r>
              <w:rPr>
                <w:rFonts w:ascii="Times New Roman" w:hAnsi="Times New Roman"/>
                <w:sz w:val="20"/>
              </w:rPr>
              <w:t>Foliage Height Diversity (FHD)</w:t>
            </w:r>
          </w:p>
        </w:tc>
        <w:tc>
          <w:tcPr>
            <w:tcW w:w="1584" w:type="dxa"/>
          </w:tcPr>
          <w:p w14:paraId="5158BA0B" w14:textId="77777777" w:rsidR="00D42293" w:rsidRDefault="00000000">
            <w:pPr>
              <w:jc w:val="center"/>
            </w:pPr>
            <w:r>
              <w:rPr>
                <w:rFonts w:ascii="Times New Roman" w:hAnsi="Times New Roman"/>
                <w:sz w:val="20"/>
              </w:rPr>
              <w:t>0.62</w:t>
            </w:r>
          </w:p>
        </w:tc>
        <w:tc>
          <w:tcPr>
            <w:tcW w:w="1584" w:type="dxa"/>
          </w:tcPr>
          <w:p w14:paraId="53E619DA" w14:textId="77777777" w:rsidR="00D42293" w:rsidRDefault="00000000">
            <w:pPr>
              <w:jc w:val="center"/>
            </w:pPr>
            <w:r>
              <w:rPr>
                <w:rFonts w:ascii="Times New Roman" w:hAnsi="Times New Roman"/>
                <w:sz w:val="20"/>
              </w:rPr>
              <w:t>0.44</w:t>
            </w:r>
          </w:p>
        </w:tc>
        <w:tc>
          <w:tcPr>
            <w:tcW w:w="1584" w:type="dxa"/>
          </w:tcPr>
          <w:p w14:paraId="3D7AA294" w14:textId="77777777" w:rsidR="00D42293" w:rsidRDefault="00000000">
            <w:pPr>
              <w:jc w:val="center"/>
            </w:pPr>
            <w:r>
              <w:rPr>
                <w:rFonts w:ascii="Times New Roman" w:hAnsi="Times New Roman"/>
                <w:sz w:val="20"/>
              </w:rPr>
              <w:t>0.31</w:t>
            </w:r>
          </w:p>
        </w:tc>
        <w:tc>
          <w:tcPr>
            <w:tcW w:w="1584" w:type="dxa"/>
          </w:tcPr>
          <w:p w14:paraId="24BBCE33" w14:textId="77777777" w:rsidR="00D42293" w:rsidRDefault="00000000">
            <w:pPr>
              <w:jc w:val="center"/>
            </w:pPr>
            <w:r>
              <w:rPr>
                <w:rFonts w:ascii="Times New Roman" w:hAnsi="Times New Roman"/>
                <w:sz w:val="20"/>
              </w:rPr>
              <w:t>0.09</w:t>
            </w:r>
          </w:p>
        </w:tc>
        <w:tc>
          <w:tcPr>
            <w:tcW w:w="1152" w:type="dxa"/>
          </w:tcPr>
          <w:p w14:paraId="53E24A7A" w14:textId="77777777" w:rsidR="00D42293" w:rsidRDefault="00000000">
            <w:pPr>
              <w:jc w:val="center"/>
            </w:pPr>
            <w:r>
              <w:rPr>
                <w:rFonts w:ascii="Times New Roman" w:hAnsi="Times New Roman"/>
                <w:sz w:val="20"/>
              </w:rPr>
              <w:t>0.825</w:t>
            </w:r>
          </w:p>
        </w:tc>
      </w:tr>
      <w:tr w:rsidR="00D42293" w14:paraId="4D58A63A" w14:textId="77777777">
        <w:trPr>
          <w:jc w:val="center"/>
        </w:trPr>
        <w:tc>
          <w:tcPr>
            <w:tcW w:w="2880" w:type="dxa"/>
          </w:tcPr>
          <w:p w14:paraId="36A5971D" w14:textId="77777777" w:rsidR="00D42293" w:rsidRDefault="00000000">
            <w:r>
              <w:rPr>
                <w:rFonts w:ascii="Times New Roman" w:hAnsi="Times New Roman"/>
                <w:sz w:val="20"/>
              </w:rPr>
              <w:t>Fractional Cover (FCOVER, 0-1)</w:t>
            </w:r>
          </w:p>
        </w:tc>
        <w:tc>
          <w:tcPr>
            <w:tcW w:w="1584" w:type="dxa"/>
          </w:tcPr>
          <w:p w14:paraId="09A2F6AD" w14:textId="77777777" w:rsidR="00D42293" w:rsidRDefault="00000000">
            <w:pPr>
              <w:jc w:val="center"/>
            </w:pPr>
            <w:r>
              <w:rPr>
                <w:rFonts w:ascii="Times New Roman" w:hAnsi="Times New Roman"/>
                <w:sz w:val="20"/>
              </w:rPr>
              <w:t>0.22</w:t>
            </w:r>
          </w:p>
        </w:tc>
        <w:tc>
          <w:tcPr>
            <w:tcW w:w="1584" w:type="dxa"/>
          </w:tcPr>
          <w:p w14:paraId="4BDDF4BB" w14:textId="77777777" w:rsidR="00D42293" w:rsidRDefault="00000000">
            <w:pPr>
              <w:jc w:val="center"/>
            </w:pPr>
            <w:r>
              <w:rPr>
                <w:rFonts w:ascii="Times New Roman" w:hAnsi="Times New Roman"/>
                <w:sz w:val="20"/>
              </w:rPr>
              <w:t>0.15</w:t>
            </w:r>
          </w:p>
        </w:tc>
        <w:tc>
          <w:tcPr>
            <w:tcW w:w="1584" w:type="dxa"/>
          </w:tcPr>
          <w:p w14:paraId="1D029861" w14:textId="77777777" w:rsidR="00D42293" w:rsidRDefault="00000000">
            <w:pPr>
              <w:jc w:val="center"/>
            </w:pPr>
            <w:r>
              <w:rPr>
                <w:rFonts w:ascii="Times New Roman" w:hAnsi="Times New Roman"/>
                <w:sz w:val="20"/>
              </w:rPr>
              <w:t>0.09</w:t>
            </w:r>
          </w:p>
        </w:tc>
        <w:tc>
          <w:tcPr>
            <w:tcW w:w="1584" w:type="dxa"/>
          </w:tcPr>
          <w:p w14:paraId="079C910A" w14:textId="77777777" w:rsidR="00D42293" w:rsidRDefault="00000000">
            <w:pPr>
              <w:jc w:val="center"/>
            </w:pPr>
            <w:r>
              <w:rPr>
                <w:rFonts w:ascii="Times New Roman" w:hAnsi="Times New Roman"/>
                <w:sz w:val="20"/>
              </w:rPr>
              <w:t>0.01</w:t>
            </w:r>
          </w:p>
        </w:tc>
        <w:tc>
          <w:tcPr>
            <w:tcW w:w="1152" w:type="dxa"/>
          </w:tcPr>
          <w:p w14:paraId="1C74F145" w14:textId="77777777" w:rsidR="00D42293" w:rsidRDefault="00000000">
            <w:pPr>
              <w:jc w:val="center"/>
            </w:pPr>
            <w:r>
              <w:rPr>
                <w:rFonts w:ascii="Times New Roman" w:hAnsi="Times New Roman"/>
                <w:sz w:val="20"/>
              </w:rPr>
              <w:t>0.873</w:t>
            </w:r>
          </w:p>
        </w:tc>
      </w:tr>
      <w:tr w:rsidR="00D42293" w14:paraId="0B30B1F4" w14:textId="77777777">
        <w:trPr>
          <w:jc w:val="center"/>
        </w:trPr>
        <w:tc>
          <w:tcPr>
            <w:tcW w:w="2880" w:type="dxa"/>
          </w:tcPr>
          <w:p w14:paraId="5CEDE7D2" w14:textId="77777777" w:rsidR="00D42293" w:rsidRDefault="00000000">
            <w:r>
              <w:rPr>
                <w:rFonts w:ascii="Times New Roman" w:hAnsi="Times New Roman"/>
                <w:sz w:val="20"/>
              </w:rPr>
              <w:t>Above-Ground Biomass (Mg/ha)</w:t>
            </w:r>
          </w:p>
        </w:tc>
        <w:tc>
          <w:tcPr>
            <w:tcW w:w="1584" w:type="dxa"/>
          </w:tcPr>
          <w:p w14:paraId="2DE33A95" w14:textId="77777777" w:rsidR="00D42293" w:rsidRDefault="00000000">
            <w:pPr>
              <w:jc w:val="center"/>
            </w:pPr>
            <w:r>
              <w:rPr>
                <w:rFonts w:ascii="Times New Roman" w:hAnsi="Times New Roman"/>
                <w:sz w:val="20"/>
              </w:rPr>
              <w:t>28.4 Mg/ha</w:t>
            </w:r>
          </w:p>
        </w:tc>
        <w:tc>
          <w:tcPr>
            <w:tcW w:w="1584" w:type="dxa"/>
          </w:tcPr>
          <w:p w14:paraId="014B3110" w14:textId="77777777" w:rsidR="00D42293" w:rsidRDefault="00000000">
            <w:pPr>
              <w:jc w:val="center"/>
            </w:pPr>
            <w:r>
              <w:rPr>
                <w:rFonts w:ascii="Times New Roman" w:hAnsi="Times New Roman"/>
                <w:sz w:val="20"/>
              </w:rPr>
              <w:t>19.2 Mg/ha</w:t>
            </w:r>
          </w:p>
        </w:tc>
        <w:tc>
          <w:tcPr>
            <w:tcW w:w="1584" w:type="dxa"/>
          </w:tcPr>
          <w:p w14:paraId="3CA5D881" w14:textId="77777777" w:rsidR="00D42293" w:rsidRDefault="00000000">
            <w:pPr>
              <w:jc w:val="center"/>
            </w:pPr>
            <w:r>
              <w:rPr>
                <w:rFonts w:ascii="Times New Roman" w:hAnsi="Times New Roman"/>
                <w:sz w:val="20"/>
              </w:rPr>
              <w:t>14.1 Mg/ha</w:t>
            </w:r>
          </w:p>
        </w:tc>
        <w:tc>
          <w:tcPr>
            <w:tcW w:w="1584" w:type="dxa"/>
          </w:tcPr>
          <w:p w14:paraId="416F8E5A" w14:textId="77777777" w:rsidR="00D42293" w:rsidRDefault="00000000">
            <w:pPr>
              <w:jc w:val="center"/>
            </w:pPr>
            <w:r>
              <w:rPr>
                <w:rFonts w:ascii="Times New Roman" w:hAnsi="Times New Roman"/>
                <w:sz w:val="20"/>
              </w:rPr>
              <w:t>198.8</w:t>
            </w:r>
          </w:p>
        </w:tc>
        <w:tc>
          <w:tcPr>
            <w:tcW w:w="1152" w:type="dxa"/>
          </w:tcPr>
          <w:p w14:paraId="6FB4EE8E" w14:textId="77777777" w:rsidR="00D42293" w:rsidRDefault="00000000">
            <w:pPr>
              <w:jc w:val="center"/>
            </w:pPr>
            <w:r>
              <w:rPr>
                <w:rFonts w:ascii="Times New Roman" w:hAnsi="Times New Roman"/>
                <w:sz w:val="20"/>
              </w:rPr>
              <w:t>0.835</w:t>
            </w:r>
          </w:p>
        </w:tc>
      </w:tr>
    </w:tbl>
    <w:p w14:paraId="66279490" w14:textId="77777777" w:rsidR="00D42293" w:rsidRDefault="00D42293">
      <w:pPr>
        <w:spacing w:before="40" w:after="120"/>
      </w:pPr>
    </w:p>
    <w:p w14:paraId="4AFB4705" w14:textId="031FD54B" w:rsidR="00BB25AF" w:rsidRPr="00BB25AF" w:rsidRDefault="00BB25AF" w:rsidP="00BB25AF">
      <w:pPr>
        <w:spacing w:after="120" w:line="360" w:lineRule="exact"/>
        <w:jc w:val="both"/>
        <w:rPr>
          <w:rFonts w:ascii="Times New Roman" w:hAnsi="Times New Roman"/>
          <w:sz w:val="24"/>
          <w:lang w:val="en-IN"/>
        </w:rPr>
      </w:pPr>
      <w:r w:rsidRPr="00BB25AF">
        <w:rPr>
          <w:rFonts w:ascii="Times New Roman" w:hAnsi="Times New Roman"/>
          <w:sz w:val="24"/>
          <w:lang w:val="en-IN"/>
        </w:rPr>
        <w:t>The results in Table 5.2 confirm the clear superiority of the deep neural imputation architecture. Linear regression failed completely (RH100 RMSE of 5.82 m, R² of 0.48) demonstrating that the relationship between multispectral reflectance and 3D canopy geometry is fundamentally non-linear. While XGBoost improved performance (RH100 RMSE of 4.15 m), it suffered from piecewise step-function discontinuities that created artificial height boundaries across contiguous mangrove patches.</w:t>
      </w:r>
    </w:p>
    <w:p w14:paraId="24E055D2" w14:textId="77777777" w:rsidR="00BB25AF" w:rsidRPr="00BB25AF" w:rsidRDefault="00BB25AF" w:rsidP="00BB25AF">
      <w:pPr>
        <w:spacing w:after="120" w:line="360" w:lineRule="exact"/>
        <w:jc w:val="both"/>
        <w:rPr>
          <w:rFonts w:ascii="Times New Roman" w:hAnsi="Times New Roman"/>
          <w:sz w:val="24"/>
          <w:lang w:val="en-IN"/>
        </w:rPr>
      </w:pPr>
      <w:r w:rsidRPr="00BB25AF">
        <w:rPr>
          <w:rFonts w:ascii="Times New Roman" w:hAnsi="Times New Roman"/>
          <w:sz w:val="24"/>
          <w:lang w:val="en-IN"/>
        </w:rPr>
        <w:t xml:space="preserve">In contrast, the transfer-learned neural network achieved a validation Root Mean Squared Error of 3.13 meters (Validation MSE of 9.81) for maximum canopy (rh100) height and an R² of 0.842. For Above-Ground Biomass, the neural model achieved an RMSE of 14.1 Mg/ha (R² = 0.835). As illustrated in the convergence curves of Figure 3.14, loss across all eight structural dimensions steadily declined without divergence, validating the transfer </w:t>
      </w:r>
      <w:r w:rsidRPr="00BB25AF">
        <w:rPr>
          <w:rFonts w:ascii="Times New Roman" w:hAnsi="Times New Roman"/>
          <w:sz w:val="24"/>
          <w:lang w:val="en-IN"/>
        </w:rPr>
        <w:lastRenderedPageBreak/>
        <w:t>learning hypothesis: pre-training on dense equatorial mangrove waveforms establishes generalisable biophysical priors that transfer effectively to arid subtropical environments.</w:t>
      </w:r>
    </w:p>
    <w:p w14:paraId="59C2EA83" w14:textId="4D492C4F" w:rsidR="00D42293" w:rsidRDefault="00000000" w:rsidP="00BB25AF">
      <w:pPr>
        <w:spacing w:after="120" w:line="360" w:lineRule="exact"/>
        <w:jc w:val="both"/>
      </w:pPr>
      <w:r>
        <w:rPr>
          <w:rFonts w:ascii="Times New Roman" w:hAnsi="Times New Roman"/>
          <w:b/>
          <w:color w:val="005078"/>
          <w:sz w:val="26"/>
        </w:rPr>
        <w:t>5.3 ST-GNN Sequestration Forecasting Performance &amp; Ablation Study</w:t>
      </w:r>
    </w:p>
    <w:p w14:paraId="25AB8D51" w14:textId="72259066" w:rsidR="00D42293" w:rsidRDefault="00BB25AF">
      <w:pPr>
        <w:spacing w:after="120" w:line="360" w:lineRule="exact"/>
        <w:jc w:val="both"/>
      </w:pPr>
      <w:r w:rsidRPr="00BB25AF">
        <w:rPr>
          <w:rFonts w:ascii="Times New Roman" w:hAnsi="Times New Roman"/>
          <w:sz w:val="24"/>
        </w:rPr>
        <w:t xml:space="preserve">The central research hypothesis of this dissertation is that a Spatio-Temporal Graph Neural Network (ST-GNN) that explicitly models tidal and sedimental hydrodynamic connectivity outperforms non-spatial and non-temporal baselines. To validate this hypothesis, an extensive ablation study was conducted on the 68-month temporal dataset (Jan 2021 to </w:t>
      </w:r>
      <w:r w:rsidR="002B4650">
        <w:rPr>
          <w:rFonts w:ascii="Times New Roman" w:hAnsi="Times New Roman"/>
          <w:sz w:val="24"/>
        </w:rPr>
        <w:t>Aug</w:t>
      </w:r>
      <w:r w:rsidRPr="00BB25AF">
        <w:rPr>
          <w:rFonts w:ascii="Times New Roman" w:hAnsi="Times New Roman"/>
          <w:sz w:val="24"/>
        </w:rPr>
        <w:t xml:space="preserve"> 2026). The dataset was partitioned strictly chronologically: months 1 to 43 (Jan 2021-Jul 2024, 70%) for training; months 44 to 51 (Aug 2024-Mar 2025, 15%) for validation; and months 52 to 68 (Apr 2025-</w:t>
      </w:r>
      <w:r>
        <w:rPr>
          <w:rFonts w:ascii="Times New Roman" w:hAnsi="Times New Roman"/>
          <w:sz w:val="24"/>
        </w:rPr>
        <w:t>Aug</w:t>
      </w:r>
      <w:r w:rsidRPr="00BB25AF">
        <w:rPr>
          <w:rFonts w:ascii="Times New Roman" w:hAnsi="Times New Roman"/>
          <w:sz w:val="24"/>
        </w:rPr>
        <w:t xml:space="preserve"> 2026, 15%) as the unseen temporal test partition.</w:t>
      </w:r>
    </w:p>
    <w:p w14:paraId="41591B37" w14:textId="77777777" w:rsidR="00D42293" w:rsidRDefault="00000000">
      <w:pPr>
        <w:spacing w:after="120" w:line="360" w:lineRule="exact"/>
        <w:jc w:val="both"/>
      </w:pPr>
      <w:r>
        <w:rPr>
          <w:rFonts w:ascii="Times New Roman" w:hAnsi="Times New Roman"/>
          <w:sz w:val="24"/>
        </w:rPr>
        <w:t>The ST-GNN was benchmarked against three distinct ablation baselines:</w:t>
      </w:r>
    </w:p>
    <w:p w14:paraId="1275EF11" w14:textId="77777777" w:rsidR="00D42293" w:rsidRDefault="00000000">
      <w:pPr>
        <w:pStyle w:val="ListBullet"/>
        <w:spacing w:before="40" w:after="60" w:line="360" w:lineRule="exact"/>
        <w:ind w:left="576"/>
      </w:pPr>
      <w:r>
        <w:rPr>
          <w:rFonts w:ascii="Times New Roman" w:hAnsi="Times New Roman"/>
          <w:b/>
          <w:sz w:val="24"/>
        </w:rPr>
        <w:t xml:space="preserve">1. Random Forest (RF): </w:t>
      </w:r>
      <w:r>
        <w:rPr>
          <w:rFonts w:ascii="Times New Roman" w:hAnsi="Times New Roman"/>
          <w:sz w:val="24"/>
        </w:rPr>
        <w:t>Ablates BOTH spatial graph topology and temporal sequence modeling, treating observations as independent tabular rows.</w:t>
      </w:r>
    </w:p>
    <w:p w14:paraId="516109BC" w14:textId="77777777" w:rsidR="00D42293" w:rsidRDefault="00000000">
      <w:pPr>
        <w:pStyle w:val="ListBullet"/>
        <w:spacing w:before="40" w:after="60" w:line="360" w:lineRule="exact"/>
        <w:ind w:left="576"/>
      </w:pPr>
      <w:r>
        <w:rPr>
          <w:rFonts w:ascii="Times New Roman" w:hAnsi="Times New Roman"/>
          <w:b/>
          <w:sz w:val="24"/>
        </w:rPr>
        <w:t xml:space="preserve">2. Long Short-Term Memory (LSTM): </w:t>
      </w:r>
      <w:r>
        <w:rPr>
          <w:rFonts w:ascii="Times New Roman" w:hAnsi="Times New Roman"/>
          <w:sz w:val="24"/>
        </w:rPr>
        <w:t>Retains temporal recurrence over the 3-month lookback window but completely ablates spatial graph convolutions and inter-patch connectivity.</w:t>
      </w:r>
    </w:p>
    <w:p w14:paraId="12BF51BC" w14:textId="77777777" w:rsidR="00D42293" w:rsidRDefault="00000000">
      <w:pPr>
        <w:pStyle w:val="ListBullet"/>
        <w:spacing w:before="40" w:after="60" w:line="360" w:lineRule="exact"/>
        <w:ind w:left="576"/>
      </w:pPr>
      <w:r>
        <w:rPr>
          <w:rFonts w:ascii="Times New Roman" w:hAnsi="Times New Roman"/>
          <w:b/>
          <w:sz w:val="24"/>
        </w:rPr>
        <w:t xml:space="preserve">3. Vanilla Graph Convolutional Network (GCN): </w:t>
      </w:r>
      <w:r>
        <w:rPr>
          <w:rFonts w:ascii="Times New Roman" w:hAnsi="Times New Roman"/>
          <w:sz w:val="24"/>
        </w:rPr>
        <w:t>Retains spatial graph convolutions across the 53 patches but ablates temporal recurrence, processing each monthly snapshot independently.</w:t>
      </w:r>
    </w:p>
    <w:p w14:paraId="50AF4401" w14:textId="080ED084" w:rsidR="00D42293" w:rsidRDefault="007F6FCD">
      <w:pPr>
        <w:spacing w:after="120" w:line="360" w:lineRule="exact"/>
        <w:jc w:val="both"/>
      </w:pPr>
      <w:r w:rsidRPr="007F6FCD">
        <w:rPr>
          <w:rFonts w:ascii="Times New Roman" w:hAnsi="Times New Roman"/>
          <w:sz w:val="24"/>
        </w:rPr>
        <w:t>All models were tasked with forecasting monthly carbon sequestration (tCO2e/ha) across the 53 patches. Model performance was evaluated using four standard metrics: Root Mean Squared Error (RMSE), Mean Absolute Error (MAE), Coefficient of Determination (R²), and Nash-Sutcliffe Efficiency (NSE), reported in Table 5.3.</w:t>
      </w:r>
    </w:p>
    <w:p w14:paraId="6ED0C8BB" w14:textId="77777777" w:rsidR="00D42293" w:rsidRDefault="00000000">
      <w:pPr>
        <w:spacing w:before="200" w:after="80"/>
      </w:pPr>
      <w:r>
        <w:rPr>
          <w:rFonts w:ascii="Times New Roman" w:hAnsi="Times New Roman"/>
          <w:b/>
          <w:color w:val="1E1E1E"/>
        </w:rPr>
        <w:t>Table 5.3: ST-GNN Carbon Sequestration Forecasting Performance vs Ablation Baselines.</w:t>
      </w:r>
    </w:p>
    <w:tbl>
      <w:tblPr>
        <w:tblStyle w:val="TableGrid"/>
        <w:tblW w:w="0" w:type="auto"/>
        <w:jc w:val="center"/>
        <w:tblLook w:val="04A0" w:firstRow="1" w:lastRow="0" w:firstColumn="1" w:lastColumn="0" w:noHBand="0" w:noVBand="1"/>
      </w:tblPr>
      <w:tblGrid>
        <w:gridCol w:w="1964"/>
        <w:gridCol w:w="2294"/>
        <w:gridCol w:w="1310"/>
        <w:gridCol w:w="1310"/>
        <w:gridCol w:w="1003"/>
        <w:gridCol w:w="1335"/>
      </w:tblGrid>
      <w:tr w:rsidR="00D42293" w14:paraId="240AB702" w14:textId="77777777">
        <w:trPr>
          <w:jc w:val="center"/>
        </w:trPr>
        <w:tc>
          <w:tcPr>
            <w:tcW w:w="2592" w:type="dxa"/>
            <w:shd w:val="clear" w:color="auto" w:fill="E6ECF2"/>
          </w:tcPr>
          <w:p w14:paraId="5AB19D20" w14:textId="77777777" w:rsidR="00D42293" w:rsidRDefault="00000000">
            <w:pPr>
              <w:jc w:val="center"/>
            </w:pPr>
            <w:r>
              <w:rPr>
                <w:rFonts w:ascii="Times New Roman" w:hAnsi="Times New Roman"/>
                <w:b/>
                <w:color w:val="003366"/>
                <w:sz w:val="20"/>
              </w:rPr>
              <w:t>Model Architecture</w:t>
            </w:r>
          </w:p>
        </w:tc>
        <w:tc>
          <w:tcPr>
            <w:tcW w:w="3168" w:type="dxa"/>
            <w:shd w:val="clear" w:color="auto" w:fill="E6ECF2"/>
          </w:tcPr>
          <w:p w14:paraId="6AE5C3BE" w14:textId="77777777" w:rsidR="00D42293" w:rsidRDefault="00000000">
            <w:pPr>
              <w:jc w:val="center"/>
            </w:pPr>
            <w:r>
              <w:rPr>
                <w:rFonts w:ascii="Times New Roman" w:hAnsi="Times New Roman"/>
                <w:b/>
                <w:color w:val="003366"/>
                <w:sz w:val="20"/>
              </w:rPr>
              <w:t>Ablated Architectural Component</w:t>
            </w:r>
          </w:p>
        </w:tc>
        <w:tc>
          <w:tcPr>
            <w:tcW w:w="1440" w:type="dxa"/>
            <w:shd w:val="clear" w:color="auto" w:fill="E6ECF2"/>
          </w:tcPr>
          <w:p w14:paraId="0B93382D" w14:textId="77777777" w:rsidR="00D42293" w:rsidRDefault="00000000">
            <w:pPr>
              <w:jc w:val="center"/>
            </w:pPr>
            <w:r>
              <w:rPr>
                <w:rFonts w:ascii="Times New Roman" w:hAnsi="Times New Roman"/>
                <w:b/>
                <w:color w:val="003366"/>
                <w:sz w:val="20"/>
              </w:rPr>
              <w:t>RMSE (tCO2e/ha)</w:t>
            </w:r>
          </w:p>
        </w:tc>
        <w:tc>
          <w:tcPr>
            <w:tcW w:w="1440" w:type="dxa"/>
            <w:shd w:val="clear" w:color="auto" w:fill="E6ECF2"/>
          </w:tcPr>
          <w:p w14:paraId="29DEDC68" w14:textId="77777777" w:rsidR="00D42293" w:rsidRDefault="00000000">
            <w:pPr>
              <w:jc w:val="center"/>
            </w:pPr>
            <w:r>
              <w:rPr>
                <w:rFonts w:ascii="Times New Roman" w:hAnsi="Times New Roman"/>
                <w:b/>
                <w:color w:val="003366"/>
                <w:sz w:val="20"/>
              </w:rPr>
              <w:t>MAE (tCO2e/ha)</w:t>
            </w:r>
          </w:p>
        </w:tc>
        <w:tc>
          <w:tcPr>
            <w:tcW w:w="1296" w:type="dxa"/>
            <w:shd w:val="clear" w:color="auto" w:fill="E6ECF2"/>
          </w:tcPr>
          <w:p w14:paraId="65BA5540" w14:textId="77777777" w:rsidR="00D42293" w:rsidRDefault="00000000">
            <w:pPr>
              <w:jc w:val="center"/>
            </w:pPr>
            <w:r>
              <w:rPr>
                <w:rFonts w:ascii="Times New Roman" w:hAnsi="Times New Roman"/>
                <w:b/>
                <w:color w:val="003366"/>
                <w:sz w:val="20"/>
              </w:rPr>
              <w:t>R² Score</w:t>
            </w:r>
          </w:p>
        </w:tc>
        <w:tc>
          <w:tcPr>
            <w:tcW w:w="1584" w:type="dxa"/>
            <w:shd w:val="clear" w:color="auto" w:fill="E6ECF2"/>
          </w:tcPr>
          <w:p w14:paraId="38655F6D" w14:textId="77777777" w:rsidR="00D42293" w:rsidRDefault="00000000">
            <w:pPr>
              <w:jc w:val="center"/>
            </w:pPr>
            <w:r>
              <w:rPr>
                <w:rFonts w:ascii="Times New Roman" w:hAnsi="Times New Roman"/>
                <w:b/>
                <w:color w:val="003366"/>
                <w:sz w:val="20"/>
              </w:rPr>
              <w:t>Nash-Sutcliffe Efficiency (NSE)</w:t>
            </w:r>
          </w:p>
        </w:tc>
      </w:tr>
      <w:tr w:rsidR="00D42293" w14:paraId="285B20DC" w14:textId="77777777">
        <w:trPr>
          <w:jc w:val="center"/>
        </w:trPr>
        <w:tc>
          <w:tcPr>
            <w:tcW w:w="2592" w:type="dxa"/>
          </w:tcPr>
          <w:p w14:paraId="4A1B9C78" w14:textId="77777777" w:rsidR="00D42293" w:rsidRDefault="00000000">
            <w:r>
              <w:rPr>
                <w:rFonts w:ascii="Times New Roman" w:hAnsi="Times New Roman"/>
                <w:sz w:val="20"/>
              </w:rPr>
              <w:t>Random Forest (Baseline 1)</w:t>
            </w:r>
          </w:p>
        </w:tc>
        <w:tc>
          <w:tcPr>
            <w:tcW w:w="3168" w:type="dxa"/>
          </w:tcPr>
          <w:p w14:paraId="204E9225" w14:textId="77777777" w:rsidR="00D42293" w:rsidRDefault="00000000">
            <w:r>
              <w:rPr>
                <w:rFonts w:ascii="Times New Roman" w:hAnsi="Times New Roman"/>
                <w:sz w:val="20"/>
              </w:rPr>
              <w:t>Spatial Topology AND Temporal Recurrence</w:t>
            </w:r>
          </w:p>
        </w:tc>
        <w:tc>
          <w:tcPr>
            <w:tcW w:w="1440" w:type="dxa"/>
          </w:tcPr>
          <w:p w14:paraId="01495429" w14:textId="77777777" w:rsidR="00D42293" w:rsidRDefault="00000000">
            <w:pPr>
              <w:jc w:val="center"/>
            </w:pPr>
            <w:r>
              <w:rPr>
                <w:rFonts w:ascii="Times New Roman" w:hAnsi="Times New Roman"/>
                <w:sz w:val="20"/>
              </w:rPr>
              <w:t>0.2431</w:t>
            </w:r>
          </w:p>
        </w:tc>
        <w:tc>
          <w:tcPr>
            <w:tcW w:w="1440" w:type="dxa"/>
          </w:tcPr>
          <w:p w14:paraId="752E5DA4" w14:textId="77777777" w:rsidR="00D42293" w:rsidRDefault="00000000">
            <w:pPr>
              <w:jc w:val="center"/>
            </w:pPr>
            <w:r>
              <w:rPr>
                <w:rFonts w:ascii="Times New Roman" w:hAnsi="Times New Roman"/>
                <w:sz w:val="20"/>
              </w:rPr>
              <w:t>0.1985</w:t>
            </w:r>
          </w:p>
        </w:tc>
        <w:tc>
          <w:tcPr>
            <w:tcW w:w="1296" w:type="dxa"/>
          </w:tcPr>
          <w:p w14:paraId="0ECB57FD" w14:textId="77777777" w:rsidR="00D42293" w:rsidRDefault="00000000">
            <w:pPr>
              <w:jc w:val="center"/>
            </w:pPr>
            <w:r>
              <w:rPr>
                <w:rFonts w:ascii="Times New Roman" w:hAnsi="Times New Roman"/>
                <w:sz w:val="20"/>
              </w:rPr>
              <w:t>0.612</w:t>
            </w:r>
          </w:p>
        </w:tc>
        <w:tc>
          <w:tcPr>
            <w:tcW w:w="1584" w:type="dxa"/>
          </w:tcPr>
          <w:p w14:paraId="29FB4A38" w14:textId="77777777" w:rsidR="00D42293" w:rsidRDefault="00000000">
            <w:pPr>
              <w:jc w:val="center"/>
            </w:pPr>
            <w:r>
              <w:rPr>
                <w:rFonts w:ascii="Times New Roman" w:hAnsi="Times New Roman"/>
                <w:sz w:val="20"/>
              </w:rPr>
              <w:t>0.584</w:t>
            </w:r>
          </w:p>
        </w:tc>
      </w:tr>
      <w:tr w:rsidR="00D42293" w14:paraId="0A684685" w14:textId="77777777">
        <w:trPr>
          <w:jc w:val="center"/>
        </w:trPr>
        <w:tc>
          <w:tcPr>
            <w:tcW w:w="2592" w:type="dxa"/>
          </w:tcPr>
          <w:p w14:paraId="4B085B95" w14:textId="77777777" w:rsidR="00D42293" w:rsidRDefault="00000000">
            <w:r>
              <w:rPr>
                <w:rFonts w:ascii="Times New Roman" w:hAnsi="Times New Roman"/>
                <w:sz w:val="20"/>
              </w:rPr>
              <w:t>Temporal LSTM (Baseline 2)</w:t>
            </w:r>
          </w:p>
        </w:tc>
        <w:tc>
          <w:tcPr>
            <w:tcW w:w="3168" w:type="dxa"/>
          </w:tcPr>
          <w:p w14:paraId="1AAE3DCB" w14:textId="77777777" w:rsidR="00D42293" w:rsidRDefault="00000000">
            <w:r>
              <w:rPr>
                <w:rFonts w:ascii="Times New Roman" w:hAnsi="Times New Roman"/>
                <w:sz w:val="20"/>
              </w:rPr>
              <w:t>Spatial Graph Convolutions (Relational Edges)</w:t>
            </w:r>
          </w:p>
        </w:tc>
        <w:tc>
          <w:tcPr>
            <w:tcW w:w="1440" w:type="dxa"/>
          </w:tcPr>
          <w:p w14:paraId="29856658" w14:textId="77777777" w:rsidR="00D42293" w:rsidRDefault="00000000">
            <w:pPr>
              <w:jc w:val="center"/>
            </w:pPr>
            <w:r>
              <w:rPr>
                <w:rFonts w:ascii="Times New Roman" w:hAnsi="Times New Roman"/>
                <w:sz w:val="20"/>
              </w:rPr>
              <w:t>0.1684</w:t>
            </w:r>
          </w:p>
        </w:tc>
        <w:tc>
          <w:tcPr>
            <w:tcW w:w="1440" w:type="dxa"/>
          </w:tcPr>
          <w:p w14:paraId="7DB41063" w14:textId="77777777" w:rsidR="00D42293" w:rsidRDefault="00000000">
            <w:pPr>
              <w:jc w:val="center"/>
            </w:pPr>
            <w:r>
              <w:rPr>
                <w:rFonts w:ascii="Times New Roman" w:hAnsi="Times New Roman"/>
                <w:sz w:val="20"/>
              </w:rPr>
              <w:t>0.1342</w:t>
            </w:r>
          </w:p>
        </w:tc>
        <w:tc>
          <w:tcPr>
            <w:tcW w:w="1296" w:type="dxa"/>
          </w:tcPr>
          <w:p w14:paraId="7FE59EAC" w14:textId="77777777" w:rsidR="00D42293" w:rsidRDefault="00000000">
            <w:pPr>
              <w:jc w:val="center"/>
            </w:pPr>
            <w:r>
              <w:rPr>
                <w:rFonts w:ascii="Times New Roman" w:hAnsi="Times New Roman"/>
                <w:sz w:val="20"/>
              </w:rPr>
              <w:t>0.764</w:t>
            </w:r>
          </w:p>
        </w:tc>
        <w:tc>
          <w:tcPr>
            <w:tcW w:w="1584" w:type="dxa"/>
          </w:tcPr>
          <w:p w14:paraId="27051E4D" w14:textId="77777777" w:rsidR="00D42293" w:rsidRDefault="00000000">
            <w:pPr>
              <w:jc w:val="center"/>
            </w:pPr>
            <w:r>
              <w:rPr>
                <w:rFonts w:ascii="Times New Roman" w:hAnsi="Times New Roman"/>
                <w:sz w:val="20"/>
              </w:rPr>
              <w:t>0.741</w:t>
            </w:r>
          </w:p>
        </w:tc>
      </w:tr>
      <w:tr w:rsidR="00D42293" w14:paraId="3493B2DA" w14:textId="77777777">
        <w:trPr>
          <w:jc w:val="center"/>
        </w:trPr>
        <w:tc>
          <w:tcPr>
            <w:tcW w:w="2592" w:type="dxa"/>
          </w:tcPr>
          <w:p w14:paraId="5D6607EC" w14:textId="77777777" w:rsidR="00D42293" w:rsidRDefault="00000000">
            <w:r>
              <w:rPr>
                <w:rFonts w:ascii="Times New Roman" w:hAnsi="Times New Roman"/>
                <w:sz w:val="20"/>
              </w:rPr>
              <w:t>Spatial GCN (Baseline 3)</w:t>
            </w:r>
          </w:p>
        </w:tc>
        <w:tc>
          <w:tcPr>
            <w:tcW w:w="3168" w:type="dxa"/>
          </w:tcPr>
          <w:p w14:paraId="2E4ADE00" w14:textId="77777777" w:rsidR="00D42293" w:rsidRDefault="00000000">
            <w:r>
              <w:rPr>
                <w:rFonts w:ascii="Times New Roman" w:hAnsi="Times New Roman"/>
                <w:sz w:val="20"/>
              </w:rPr>
              <w:t>Temporal Sequence Modeling (Recurrence)</w:t>
            </w:r>
          </w:p>
        </w:tc>
        <w:tc>
          <w:tcPr>
            <w:tcW w:w="1440" w:type="dxa"/>
          </w:tcPr>
          <w:p w14:paraId="093363BF" w14:textId="77777777" w:rsidR="00D42293" w:rsidRDefault="00000000">
            <w:pPr>
              <w:jc w:val="center"/>
            </w:pPr>
            <w:r>
              <w:rPr>
                <w:rFonts w:ascii="Times New Roman" w:hAnsi="Times New Roman"/>
                <w:sz w:val="20"/>
              </w:rPr>
              <w:t>0.1412</w:t>
            </w:r>
          </w:p>
        </w:tc>
        <w:tc>
          <w:tcPr>
            <w:tcW w:w="1440" w:type="dxa"/>
          </w:tcPr>
          <w:p w14:paraId="13863D47" w14:textId="77777777" w:rsidR="00D42293" w:rsidRDefault="00000000">
            <w:pPr>
              <w:jc w:val="center"/>
            </w:pPr>
            <w:r>
              <w:rPr>
                <w:rFonts w:ascii="Times New Roman" w:hAnsi="Times New Roman"/>
                <w:sz w:val="20"/>
              </w:rPr>
              <w:t>0.1150</w:t>
            </w:r>
          </w:p>
        </w:tc>
        <w:tc>
          <w:tcPr>
            <w:tcW w:w="1296" w:type="dxa"/>
          </w:tcPr>
          <w:p w14:paraId="1FE98AB0" w14:textId="77777777" w:rsidR="00D42293" w:rsidRDefault="00000000">
            <w:pPr>
              <w:jc w:val="center"/>
            </w:pPr>
            <w:r>
              <w:rPr>
                <w:rFonts w:ascii="Times New Roman" w:hAnsi="Times New Roman"/>
                <w:sz w:val="20"/>
              </w:rPr>
              <w:t>0.808</w:t>
            </w:r>
          </w:p>
        </w:tc>
        <w:tc>
          <w:tcPr>
            <w:tcW w:w="1584" w:type="dxa"/>
          </w:tcPr>
          <w:p w14:paraId="5D7A36C3" w14:textId="77777777" w:rsidR="00D42293" w:rsidRDefault="00000000">
            <w:pPr>
              <w:jc w:val="center"/>
            </w:pPr>
            <w:r>
              <w:rPr>
                <w:rFonts w:ascii="Times New Roman" w:hAnsi="Times New Roman"/>
                <w:sz w:val="20"/>
              </w:rPr>
              <w:t>0.792</w:t>
            </w:r>
          </w:p>
        </w:tc>
      </w:tr>
      <w:tr w:rsidR="00D42293" w14:paraId="735CD464" w14:textId="77777777">
        <w:trPr>
          <w:jc w:val="center"/>
        </w:trPr>
        <w:tc>
          <w:tcPr>
            <w:tcW w:w="2592" w:type="dxa"/>
          </w:tcPr>
          <w:p w14:paraId="21413122" w14:textId="77777777" w:rsidR="00D42293" w:rsidRDefault="00000000">
            <w:r>
              <w:rPr>
                <w:rFonts w:ascii="Times New Roman" w:hAnsi="Times New Roman"/>
                <w:sz w:val="20"/>
              </w:rPr>
              <w:t>ST-GNN (Proposed MCIP)</w:t>
            </w:r>
          </w:p>
        </w:tc>
        <w:tc>
          <w:tcPr>
            <w:tcW w:w="3168" w:type="dxa"/>
          </w:tcPr>
          <w:p w14:paraId="5D06BA52" w14:textId="77777777" w:rsidR="00D42293" w:rsidRDefault="00000000">
            <w:r>
              <w:rPr>
                <w:rFonts w:ascii="Times New Roman" w:hAnsi="Times New Roman"/>
                <w:sz w:val="20"/>
              </w:rPr>
              <w:t>None (Complete Spatio-Temporal Topology)</w:t>
            </w:r>
          </w:p>
        </w:tc>
        <w:tc>
          <w:tcPr>
            <w:tcW w:w="1440" w:type="dxa"/>
          </w:tcPr>
          <w:p w14:paraId="6626B4E0" w14:textId="77777777" w:rsidR="00D42293" w:rsidRDefault="00000000">
            <w:pPr>
              <w:jc w:val="center"/>
            </w:pPr>
            <w:r>
              <w:rPr>
                <w:rFonts w:ascii="Times New Roman" w:hAnsi="Times New Roman"/>
                <w:sz w:val="20"/>
              </w:rPr>
              <w:t>0.0874</w:t>
            </w:r>
          </w:p>
        </w:tc>
        <w:tc>
          <w:tcPr>
            <w:tcW w:w="1440" w:type="dxa"/>
          </w:tcPr>
          <w:p w14:paraId="75F5F473" w14:textId="77777777" w:rsidR="00D42293" w:rsidRDefault="00000000">
            <w:pPr>
              <w:jc w:val="center"/>
            </w:pPr>
            <w:r>
              <w:rPr>
                <w:rFonts w:ascii="Times New Roman" w:hAnsi="Times New Roman"/>
                <w:sz w:val="20"/>
              </w:rPr>
              <w:t>0.0740</w:t>
            </w:r>
          </w:p>
        </w:tc>
        <w:tc>
          <w:tcPr>
            <w:tcW w:w="1296" w:type="dxa"/>
          </w:tcPr>
          <w:p w14:paraId="77AFE260" w14:textId="77777777" w:rsidR="00D42293" w:rsidRDefault="00000000">
            <w:pPr>
              <w:jc w:val="center"/>
            </w:pPr>
            <w:r>
              <w:rPr>
                <w:rFonts w:ascii="Times New Roman" w:hAnsi="Times New Roman"/>
                <w:sz w:val="20"/>
              </w:rPr>
              <w:t>0.912</w:t>
            </w:r>
          </w:p>
        </w:tc>
        <w:tc>
          <w:tcPr>
            <w:tcW w:w="1584" w:type="dxa"/>
          </w:tcPr>
          <w:p w14:paraId="318C6DCB" w14:textId="77777777" w:rsidR="00D42293" w:rsidRDefault="00000000">
            <w:pPr>
              <w:jc w:val="center"/>
            </w:pPr>
            <w:r>
              <w:rPr>
                <w:rFonts w:ascii="Times New Roman" w:hAnsi="Times New Roman"/>
                <w:sz w:val="20"/>
              </w:rPr>
              <w:t>0.895</w:t>
            </w:r>
          </w:p>
        </w:tc>
      </w:tr>
    </w:tbl>
    <w:p w14:paraId="4B4D03C1" w14:textId="77777777" w:rsidR="00D42293" w:rsidRDefault="00D42293">
      <w:pPr>
        <w:spacing w:before="40" w:after="120"/>
      </w:pPr>
    </w:p>
    <w:p w14:paraId="5708C92A" w14:textId="23EEA547" w:rsidR="007F6FCD" w:rsidRPr="007F6FCD" w:rsidRDefault="007F6FCD" w:rsidP="007F6FCD">
      <w:pPr>
        <w:spacing w:after="120" w:line="360" w:lineRule="exact"/>
        <w:jc w:val="both"/>
        <w:rPr>
          <w:rFonts w:ascii="Times New Roman" w:hAnsi="Times New Roman"/>
          <w:sz w:val="24"/>
          <w:lang w:val="en-IN"/>
        </w:rPr>
      </w:pPr>
      <w:r w:rsidRPr="007F6FCD">
        <w:rPr>
          <w:rFonts w:ascii="Times New Roman" w:hAnsi="Times New Roman"/>
          <w:sz w:val="24"/>
          <w:lang w:val="en-IN"/>
        </w:rPr>
        <w:lastRenderedPageBreak/>
        <w:t>The empirical findings in Table 5.3 provide definitive, incontrovertible support for Primary Hypothesis H1. The proposed ST-GNN achieved a Root Mean Squared Error of 0.0874 tCO2e/ha and a Mean Absolute Error of 0.0740 tCO2e/ha on the test partition, outperforming the Random Forest baseline by 64.0%, the LSTM temporal baseline by 48.1% and the Vanilla GCN spatial baseline by 38.1%. Furthermore, the ST-GNN achieved an R² of 0.912 and a Nash-Sutcliffe Efficiency of 0.895 demonstrating that over 91% of total temporal variance in monthly carbon sequestration is captured by the model.</w:t>
      </w:r>
    </w:p>
    <w:p w14:paraId="071A28E7" w14:textId="77777777" w:rsidR="007F6FCD" w:rsidRPr="007F6FCD" w:rsidRDefault="007F6FCD" w:rsidP="007F6FCD">
      <w:pPr>
        <w:spacing w:after="120" w:line="360" w:lineRule="exact"/>
        <w:jc w:val="both"/>
        <w:rPr>
          <w:rFonts w:ascii="Times New Roman" w:hAnsi="Times New Roman"/>
          <w:sz w:val="24"/>
          <w:lang w:val="en-IN"/>
        </w:rPr>
      </w:pPr>
      <w:r w:rsidRPr="007F6FCD">
        <w:rPr>
          <w:rFonts w:ascii="Times New Roman" w:hAnsi="Times New Roman"/>
          <w:sz w:val="24"/>
          <w:lang w:val="en-IN"/>
        </w:rPr>
        <w:t>The ablation progression provides profound theoretical insight into ecological modeling. Comparing Random Forest (R² = 0.612) to LSTM (R² = 0.764) demonstrates that modeling temporal lag and seasonal phenology accounts for approximately 15.2% of predictive variance. However, introducing spatial graph convolutions in Vanilla GCN (R² = 0.808) yields an even larger improvement over Random Forest (+19.6%), proving that spatial proximity and topological adjacency provide stronger predictive signals than time alone. Finally, the simultaneous fusion of spatial graph convolutions and temporal recurrence in the ST-GNN yields a super-additive gain (R² = 0.912), confirming that coastal carbon dynamics are governed by inseparable spatio-temporal interactions.</w:t>
      </w:r>
    </w:p>
    <w:p w14:paraId="61FFE8B1" w14:textId="119FD4D4" w:rsidR="00D42293" w:rsidRDefault="00D42293">
      <w:pPr>
        <w:spacing w:after="120" w:line="360" w:lineRule="exact"/>
        <w:jc w:val="both"/>
      </w:pPr>
    </w:p>
    <w:p w14:paraId="4E054300" w14:textId="7241884D" w:rsidR="00AD5256" w:rsidRPr="00AD5256" w:rsidRDefault="00000000" w:rsidP="00AD5256">
      <w:pPr>
        <w:keepNext/>
        <w:spacing w:before="280" w:after="120"/>
      </w:pPr>
      <w:r>
        <w:rPr>
          <w:rFonts w:ascii="Times New Roman" w:hAnsi="Times New Roman"/>
          <w:b/>
          <w:color w:val="005078"/>
          <w:sz w:val="26"/>
        </w:rPr>
        <w:t>5.4 Allochthonous vs. Autochthonous Sediment Flux Attribution</w:t>
      </w:r>
    </w:p>
    <w:p w14:paraId="3E8916B4" w14:textId="07F529B5" w:rsidR="00AD5256" w:rsidRPr="00AD5256" w:rsidRDefault="00AD5256" w:rsidP="00AD5256">
      <w:pPr>
        <w:spacing w:after="120" w:line="360" w:lineRule="exact"/>
        <w:jc w:val="both"/>
        <w:rPr>
          <w:rFonts w:ascii="Times New Roman" w:hAnsi="Times New Roman"/>
          <w:sz w:val="24"/>
          <w:lang w:val="en-IN"/>
        </w:rPr>
      </w:pPr>
      <w:r w:rsidRPr="00AD5256">
        <w:rPr>
          <w:rFonts w:ascii="Times New Roman" w:hAnsi="Times New Roman"/>
          <w:sz w:val="24"/>
          <w:lang w:val="en-IN"/>
        </w:rPr>
        <w:t>To validate the platform's regulatory compliance under Verra VM0033, an empirical experiment was conducted to verify whether the ST-GNN successfully differentiates autochthonous vegetative growth from allochthonous tidal sediment transport. Two hydrodynamically coupled patches were analyzed over a high-tide spring flood cycle: Patch 19 (an outer seaward barrier island) and Patch 25 (an inner, sheltered lagoon stand connected downstream by a directed sedimental edge with weight 1.0).</w:t>
      </w:r>
    </w:p>
    <w:p w14:paraId="2C38DA13" w14:textId="77777777" w:rsidR="00AD5256" w:rsidRPr="00AD5256" w:rsidRDefault="00AD5256" w:rsidP="00AD5256">
      <w:pPr>
        <w:spacing w:after="120" w:line="360" w:lineRule="exact"/>
        <w:jc w:val="both"/>
        <w:rPr>
          <w:rFonts w:ascii="Times New Roman" w:hAnsi="Times New Roman"/>
          <w:sz w:val="24"/>
          <w:lang w:val="en-IN"/>
        </w:rPr>
      </w:pPr>
      <w:r w:rsidRPr="00AD5256">
        <w:rPr>
          <w:rFonts w:ascii="Times New Roman" w:hAnsi="Times New Roman"/>
          <w:sz w:val="24"/>
          <w:lang w:val="en-IN"/>
        </w:rPr>
        <w:t xml:space="preserve">During the spring flood event, Sentinel-1 radar backscatter recorded a sudden 18% increase in sediment surface roughness in Patch 25 without any concurrent increase in photosynthetic chlorophyll reflectance (Sentinel-2 NDVI remained static at 0.64). The baseline LSTM model (lacking spatial awareness) falsely attributed this sediment increase to internal tree biomass growth, erroneously forecasting an unearned 12% jump in carbon sequestration credits. In stark contrast, the ST-GNN's graph convolution layer passed the message from upstream Patch 19, recognising that the sediment surge was transported via the directed tidal edge. Consequently, the ST-GNN classified the sediment influx as allochthonous marine drift, correctly withholding carbon credit issuance in strict accordance with Verra VM0033 </w:t>
      </w:r>
      <w:r w:rsidRPr="00AD5256">
        <w:rPr>
          <w:rFonts w:ascii="Times New Roman" w:hAnsi="Times New Roman"/>
          <w:sz w:val="24"/>
          <w:lang w:val="en-IN"/>
        </w:rPr>
        <w:lastRenderedPageBreak/>
        <w:t>rules. This computational attribution validates that MCIP solves the core MRV regulatory challenge without requiring destructive physical sediment coring.</w:t>
      </w:r>
    </w:p>
    <w:p w14:paraId="3AE83EA0" w14:textId="1C12C6D9" w:rsidR="00D42293" w:rsidRDefault="00D42293">
      <w:pPr>
        <w:spacing w:after="120" w:line="360" w:lineRule="exact"/>
        <w:jc w:val="both"/>
      </w:pPr>
    </w:p>
    <w:p w14:paraId="6836BC90" w14:textId="7DE2F677" w:rsidR="00AD5256" w:rsidRPr="00AD5256" w:rsidRDefault="00000000" w:rsidP="00AD5256">
      <w:pPr>
        <w:keepNext/>
        <w:spacing w:before="280" w:after="120"/>
      </w:pPr>
      <w:r>
        <w:rPr>
          <w:rFonts w:ascii="Times New Roman" w:hAnsi="Times New Roman"/>
          <w:b/>
          <w:color w:val="005078"/>
          <w:sz w:val="26"/>
        </w:rPr>
        <w:t>5.5 Explainable AI (XAI) Auditing Validation &amp; Prompt Hardening</w:t>
      </w:r>
    </w:p>
    <w:p w14:paraId="7C50790A" w14:textId="5705F58E" w:rsidR="00AD5256" w:rsidRPr="00AD5256" w:rsidRDefault="00AD5256" w:rsidP="00AD5256">
      <w:pPr>
        <w:spacing w:after="120" w:line="360" w:lineRule="exact"/>
        <w:jc w:val="both"/>
        <w:rPr>
          <w:rFonts w:ascii="Times New Roman" w:hAnsi="Times New Roman"/>
          <w:sz w:val="24"/>
          <w:lang w:val="en-IN"/>
        </w:rPr>
      </w:pPr>
      <w:r w:rsidRPr="00AD5256">
        <w:rPr>
          <w:rFonts w:ascii="Times New Roman" w:hAnsi="Times New Roman"/>
          <w:sz w:val="24"/>
          <w:lang w:val="en-IN"/>
        </w:rPr>
        <w:t>To validate Objective O5, the coupled SHAP and Gemini 2.5 Flash Explainable AI engine was subjected to rigorous stress testing across 150 simulated audit scenarios. Each scenario represented an anomalous ecological event: summer heatwaves (&gt;45°C), coastal dredging turbidity, sudden salinity spikes, and illegal canopy trimming.</w:t>
      </w:r>
    </w:p>
    <w:p w14:paraId="36405F2F" w14:textId="77777777" w:rsidR="00AD5256" w:rsidRPr="00AD5256" w:rsidRDefault="00AD5256" w:rsidP="00AD5256">
      <w:pPr>
        <w:spacing w:after="120" w:line="360" w:lineRule="exact"/>
        <w:jc w:val="both"/>
        <w:rPr>
          <w:rFonts w:ascii="Times New Roman" w:hAnsi="Times New Roman"/>
          <w:sz w:val="24"/>
          <w:lang w:val="en-IN"/>
        </w:rPr>
      </w:pPr>
      <w:r w:rsidRPr="00AD5256">
        <w:rPr>
          <w:rFonts w:ascii="Times New Roman" w:hAnsi="Times New Roman"/>
          <w:sz w:val="24"/>
          <w:lang w:val="en-IN"/>
        </w:rPr>
        <w:t>In 100% of tested scenarios, the SHAP explainer correctly identified the primary biophysical driver. For example, during a simulated July heatwave, SHAP allocated 68% of the negative attribution to Sentinel-1 SAR moisture loss and 24% to high surface temperature anomalies, with only 8% attributed to baseline phenology. The Genkit integration pipeline successfully translated these numerical tensors into plain-language, auditor-ready paragraphs within an average response latency of 1.42 seconds.</w:t>
      </w:r>
    </w:p>
    <w:p w14:paraId="5E904CF0" w14:textId="77777777" w:rsidR="00AD5256" w:rsidRPr="00AD5256" w:rsidRDefault="00AD5256" w:rsidP="00AD5256">
      <w:pPr>
        <w:spacing w:after="120" w:line="360" w:lineRule="exact"/>
        <w:jc w:val="both"/>
        <w:rPr>
          <w:rFonts w:ascii="Times New Roman" w:hAnsi="Times New Roman"/>
          <w:sz w:val="24"/>
          <w:lang w:val="en-IN"/>
        </w:rPr>
      </w:pPr>
      <w:r w:rsidRPr="00AD5256">
        <w:rPr>
          <w:rFonts w:ascii="Times New Roman" w:hAnsi="Times New Roman"/>
          <w:sz w:val="24"/>
          <w:lang w:val="en-IN"/>
        </w:rPr>
        <w:t>Furthermore, the XAI backend was tested against adversarial prompt-injection attacks and simulated network failures. Context window overflow was prevented by enforcing strict Firestore data chunking (limiting historical records to the relevant 3-month window). When subjected to simulated HTTP 503 and 429 rate-limiting errors, the system's exponential backoff and automated fallback to gemini-2.5-flash-lite achieved 99.8% query success, ensuring continuous reliability during high-stakes compliance audits.</w:t>
      </w:r>
    </w:p>
    <w:p w14:paraId="15885AFE" w14:textId="60E47C3C" w:rsidR="00D42293" w:rsidRDefault="00D42293">
      <w:pPr>
        <w:spacing w:after="120" w:line="360" w:lineRule="exact"/>
        <w:jc w:val="both"/>
      </w:pPr>
    </w:p>
    <w:p w14:paraId="2B1790BA" w14:textId="77777777" w:rsidR="00D42293" w:rsidRDefault="00000000">
      <w:pPr>
        <w:keepNext/>
        <w:spacing w:before="280" w:after="120"/>
      </w:pPr>
      <w:r>
        <w:rPr>
          <w:rFonts w:ascii="Times New Roman" w:hAnsi="Times New Roman"/>
          <w:b/>
          <w:color w:val="005078"/>
          <w:sz w:val="26"/>
        </w:rPr>
        <w:t>5.6 In-Depth Critical Human Discussion</w:t>
      </w:r>
    </w:p>
    <w:p w14:paraId="4217E9DD" w14:textId="76503C9B" w:rsidR="00D42293" w:rsidRDefault="00AD5256">
      <w:pPr>
        <w:spacing w:after="120" w:line="360" w:lineRule="exact"/>
        <w:jc w:val="both"/>
        <w:rPr>
          <w:rFonts w:ascii="Times New Roman" w:hAnsi="Times New Roman"/>
          <w:sz w:val="24"/>
        </w:rPr>
      </w:pPr>
      <w:r w:rsidRPr="00AD5256">
        <w:rPr>
          <w:rFonts w:ascii="Times New Roman" w:hAnsi="Times New Roman"/>
          <w:sz w:val="24"/>
        </w:rPr>
        <w:t xml:space="preserve">In accordance with the academic guidance established by Dr. Krishnadas Nanath in the CST4275 curriculum, machine learning evaluation must not conclude with mere statistical metric reporting. True academic scholarship requires deep, critical human reflection on model assumptions, operational trade-offs, real-world failure modes, and the boundary conditions of remote sensing science. This section provides an </w:t>
      </w:r>
      <w:r w:rsidR="008214F3" w:rsidRPr="00AD5256">
        <w:rPr>
          <w:rFonts w:ascii="Times New Roman" w:hAnsi="Times New Roman"/>
          <w:sz w:val="24"/>
        </w:rPr>
        <w:t>truthful</w:t>
      </w:r>
      <w:r w:rsidRPr="00AD5256">
        <w:rPr>
          <w:rFonts w:ascii="Times New Roman" w:hAnsi="Times New Roman"/>
          <w:sz w:val="24"/>
        </w:rPr>
        <w:t xml:space="preserve"> critique of the MCIP architecture.</w:t>
      </w:r>
    </w:p>
    <w:p w14:paraId="46025534" w14:textId="77777777" w:rsidR="000B042E" w:rsidRDefault="000B042E">
      <w:pPr>
        <w:spacing w:after="120" w:line="360" w:lineRule="exact"/>
        <w:jc w:val="both"/>
      </w:pPr>
    </w:p>
    <w:p w14:paraId="2A73A944" w14:textId="22922F07" w:rsidR="00D42293" w:rsidRDefault="00000000">
      <w:pPr>
        <w:keepNext/>
        <w:spacing w:before="200" w:after="80"/>
      </w:pPr>
      <w:r>
        <w:rPr>
          <w:rFonts w:ascii="Times New Roman" w:hAnsi="Times New Roman"/>
          <w:b/>
          <w:i/>
          <w:color w:val="282828"/>
          <w:sz w:val="24"/>
        </w:rPr>
        <w:lastRenderedPageBreak/>
        <w:t xml:space="preserve">5.6.1 The </w:t>
      </w:r>
      <w:r w:rsidR="000B042E">
        <w:rPr>
          <w:rFonts w:ascii="Times New Roman" w:hAnsi="Times New Roman"/>
          <w:b/>
          <w:i/>
          <w:color w:val="282828"/>
          <w:sz w:val="24"/>
        </w:rPr>
        <w:t>Unreliabilit</w:t>
      </w:r>
      <w:r w:rsidR="000B042E">
        <w:rPr>
          <w:rFonts w:ascii="Times New Roman" w:hAnsi="Times New Roman"/>
          <w:b/>
          <w:i/>
          <w:color w:val="282828"/>
          <w:sz w:val="24"/>
        </w:rPr>
        <w:t>y</w:t>
      </w:r>
      <w:r>
        <w:rPr>
          <w:rFonts w:ascii="Times New Roman" w:hAnsi="Times New Roman"/>
          <w:b/>
          <w:i/>
          <w:color w:val="282828"/>
          <w:sz w:val="24"/>
        </w:rPr>
        <w:t xml:space="preserve"> of Remote Sensing Proxies</w:t>
      </w:r>
    </w:p>
    <w:p w14:paraId="32315159" w14:textId="78C7E3B4" w:rsidR="00D42293" w:rsidRDefault="00AD5256">
      <w:pPr>
        <w:spacing w:after="120" w:line="360" w:lineRule="exact"/>
        <w:jc w:val="both"/>
      </w:pPr>
      <w:r w:rsidRPr="00AD5256">
        <w:rPr>
          <w:rFonts w:ascii="Times New Roman" w:hAnsi="Times New Roman"/>
          <w:sz w:val="24"/>
        </w:rPr>
        <w:t>A fundamental philosophical constraint of this research is that satellite remote sensing measures physical reflectance proxies rather than carbon atoms directly. While the Stage 1 ANN achieved 99.95% accuracy in pixel classification, remote sensing optical sensors are inherently sensitive to surface moisture and atmospheric aerosols. In arid coastal environments like the Arabian Gulf, summer humidity frequently creates severe atmospheric haze that attenuates optical blue and green bands (B02, B03). While our cloud masking and Sentinel-1 SAR fusion successfully mitigated cloud cover, subtle dust aerosol scattering can artificially depress NDVI values, causing the model to briefly underestimate vegetative vigour following major dust storms. The system currently treats these post-dust drops as potential environmental stress anomalies until subsequent clear-sky passes confirm recovery.</w:t>
      </w:r>
    </w:p>
    <w:p w14:paraId="290A8D4A" w14:textId="77777777" w:rsidR="00D42293" w:rsidRDefault="00000000">
      <w:pPr>
        <w:keepNext/>
        <w:spacing w:before="200" w:after="80"/>
      </w:pPr>
      <w:r>
        <w:rPr>
          <w:rFonts w:ascii="Times New Roman" w:hAnsi="Times New Roman"/>
          <w:b/>
          <w:i/>
          <w:color w:val="282828"/>
          <w:sz w:val="24"/>
        </w:rPr>
        <w:t>5.6.2 Trade-offs in NASA GEDI Transfer Learning</w:t>
      </w:r>
    </w:p>
    <w:p w14:paraId="7FB69463" w14:textId="271DB643" w:rsidR="00AD5256" w:rsidRPr="00AD5256" w:rsidRDefault="00AD5256" w:rsidP="00AD5256">
      <w:pPr>
        <w:spacing w:after="120" w:line="360" w:lineRule="exact"/>
        <w:jc w:val="both"/>
        <w:rPr>
          <w:rFonts w:ascii="Times New Roman" w:hAnsi="Times New Roman"/>
          <w:sz w:val="24"/>
        </w:rPr>
      </w:pPr>
      <w:r w:rsidRPr="00AD5256">
        <w:rPr>
          <w:rFonts w:ascii="Times New Roman" w:hAnsi="Times New Roman"/>
          <w:sz w:val="24"/>
        </w:rPr>
        <w:t>The decision to pre-train the neural imputation engine on the equatorial Sundarbans forest in Bangladesh represents a necessary engineering compromise. While both the Sundarbans and the UAE share mangrove species (predominantly Avicennia marina and Rhizophora), their structural physiognomy differs radically. The Sundarbans receives over 1,800 mm of annual rainfall and nutrient rich freshwater discharge from the Ganges-Brahmaputra river system, producing towering mangrove canopies exceeding 15 to 20 meters in height. In stark contrast, UAE mangroves thrive in a hyper-arid climate (&lt;100 mm rainfall/year) with water salinities exceeding 40-45 PSU, resulting in dwarf, scrub-like canopies rarely exceeding 4 to 6 meters.</w:t>
      </w:r>
    </w:p>
    <w:p w14:paraId="1A679E4A" w14:textId="77777777" w:rsidR="00AD5256" w:rsidRPr="00AD5256" w:rsidRDefault="00AD5256" w:rsidP="00AD5256">
      <w:pPr>
        <w:spacing w:after="120" w:line="360" w:lineRule="exact"/>
        <w:jc w:val="both"/>
        <w:rPr>
          <w:rFonts w:ascii="Times New Roman" w:hAnsi="Times New Roman"/>
          <w:sz w:val="24"/>
        </w:rPr>
      </w:pPr>
      <w:r w:rsidRPr="00AD5256">
        <w:rPr>
          <w:rFonts w:ascii="Times New Roman" w:hAnsi="Times New Roman"/>
          <w:sz w:val="24"/>
        </w:rPr>
        <w:t>Consequently, while the deep neural network learned the non-linear relationship between optical band ratios and canopy foliage density from the Sundarbans, the absolute height scale had to be aggressively recalibrated during the UAE fine-tuning phase. Had this step been omitted, the model would have massively overestimated UAE canopy height and biomass. Even with fine-tuning, the imputed rh100 validation RMSE of 3.13 meters represents a noticeable percentage error for dwarf trees with an average height of 4.5 meters. While sufficient for macro-scale regional carbon aggregation across 53 patches, fine-scale tree-by-tree biomass estimation would require localized airborne drone LiDAR calibration.</w:t>
      </w:r>
    </w:p>
    <w:p w14:paraId="32B7BF9A" w14:textId="14304E55" w:rsidR="00D42293" w:rsidRDefault="00D42293">
      <w:pPr>
        <w:spacing w:after="120" w:line="360" w:lineRule="exact"/>
        <w:jc w:val="both"/>
      </w:pPr>
    </w:p>
    <w:p w14:paraId="7C5AE52D" w14:textId="77777777" w:rsidR="009101FF" w:rsidRDefault="009101FF">
      <w:pPr>
        <w:spacing w:after="120" w:line="360" w:lineRule="exact"/>
        <w:jc w:val="both"/>
      </w:pPr>
    </w:p>
    <w:p w14:paraId="4E3E4279" w14:textId="77777777" w:rsidR="00D42293" w:rsidRDefault="00000000">
      <w:pPr>
        <w:keepNext/>
        <w:spacing w:before="200" w:after="80"/>
      </w:pPr>
      <w:r>
        <w:rPr>
          <w:rFonts w:ascii="Times New Roman" w:hAnsi="Times New Roman"/>
          <w:b/>
          <w:i/>
          <w:color w:val="282828"/>
          <w:sz w:val="24"/>
        </w:rPr>
        <w:lastRenderedPageBreak/>
        <w:t>5.6.3 Graph Topology Simplifications and Hydrodynamic Realities</w:t>
      </w:r>
    </w:p>
    <w:p w14:paraId="4588F965" w14:textId="5AE9DF43" w:rsidR="00D42293" w:rsidRDefault="00AD5256">
      <w:pPr>
        <w:spacing w:after="120" w:line="360" w:lineRule="exact"/>
        <w:jc w:val="both"/>
      </w:pPr>
      <w:r w:rsidRPr="00AD5256">
        <w:rPr>
          <w:rFonts w:ascii="Times New Roman" w:hAnsi="Times New Roman"/>
          <w:sz w:val="24"/>
        </w:rPr>
        <w:t>The representation of coastal hydrology as a static 86-edge directed graph represents a deliberate abstraction of fluid dynamics. In reality, tidal flows in shallow coastal lagoons are bidirectional: flooding tides push marine water inland, while ebbing tides flush brackish water back to the sea. Assigning static directional edge weights (1.0 for sedimental flow, 0.5 for tidal coupling) captures the net monthly sediment transport vector, but overlooks intra-monthly spring-neap tidal extremes and hydrodynamic eddy currents. While fully resolving Navier-Stokes hydrodynamic equations across the entire UAE coastline would require supercomputing resources beyond the scope of a near-real-time MRV platform, future iterations of MCIP could dynamically modulate graph edge weights based on real-time tidal gauge telemetry.</w:t>
      </w:r>
    </w:p>
    <w:p w14:paraId="32D45E93" w14:textId="77777777" w:rsidR="00D42293" w:rsidRDefault="00000000">
      <w:pPr>
        <w:keepNext/>
        <w:spacing w:before="200" w:after="80"/>
      </w:pPr>
      <w:r>
        <w:rPr>
          <w:rFonts w:ascii="Times New Roman" w:hAnsi="Times New Roman"/>
          <w:b/>
          <w:i/>
          <w:color w:val="282828"/>
          <w:sz w:val="24"/>
        </w:rPr>
        <w:t>5.6.4 AI Autonomy vs. Regulatory Accountability</w:t>
      </w:r>
    </w:p>
    <w:p w14:paraId="183D00CD" w14:textId="42B69C83" w:rsidR="00D42293" w:rsidRDefault="00AD5256">
      <w:pPr>
        <w:spacing w:after="120" w:line="360" w:lineRule="exact"/>
        <w:jc w:val="both"/>
      </w:pPr>
      <w:r w:rsidRPr="00AD5256">
        <w:rPr>
          <w:rFonts w:ascii="Times New Roman" w:hAnsi="Times New Roman"/>
          <w:sz w:val="24"/>
        </w:rPr>
        <w:t>Finally, an essential critical consideration is the role of artificial intelligence in sovereign carbon registries. While the Gemini 2.5 Flash XAI assistant successfully generates fluent, auditor-ready rationales, international carbon registries (such as Verra and Gold Standard) legally require human-in-the-loop validation. An AI cannot legally sign a statutory additionality certificate under Article 6 of the Paris Agreement. Therefore, MCIP is designed not as a replacement for human auditors, but as an advanced intelligence amplifier. The platform reduces audit preparation workloads by 90% and highlights precise anomaly locations, empowering accredited human verifiers to issue high-confidence certifications in days rather than months.</w:t>
      </w:r>
    </w:p>
    <w:p w14:paraId="7DB26FF4" w14:textId="729F1F09" w:rsidR="00D42293" w:rsidRDefault="00000000" w:rsidP="00AD5256">
      <w:r>
        <w:br w:type="page"/>
      </w:r>
      <w:r>
        <w:rPr>
          <w:rFonts w:ascii="Times New Roman" w:hAnsi="Times New Roman"/>
          <w:b/>
          <w:color w:val="003366"/>
          <w:sz w:val="32"/>
        </w:rPr>
        <w:lastRenderedPageBreak/>
        <w:t>Chapter 6: Product Strategy and Global Economics</w:t>
      </w:r>
    </w:p>
    <w:p w14:paraId="417DDE73" w14:textId="77777777" w:rsidR="00D42293" w:rsidRDefault="00000000">
      <w:pPr>
        <w:keepNext/>
        <w:spacing w:before="280" w:after="120"/>
      </w:pPr>
      <w:r>
        <w:rPr>
          <w:rFonts w:ascii="Times New Roman" w:hAnsi="Times New Roman"/>
          <w:b/>
          <w:color w:val="005078"/>
          <w:sz w:val="26"/>
        </w:rPr>
        <w:t>6.1 The Vision: From Academic Research to a Global SaaS Solution</w:t>
      </w:r>
    </w:p>
    <w:p w14:paraId="3675148C" w14:textId="258CF8BF" w:rsidR="003D6B7D" w:rsidRPr="003D6B7D" w:rsidRDefault="003D6B7D" w:rsidP="003D6B7D">
      <w:pPr>
        <w:spacing w:after="120" w:line="360" w:lineRule="exact"/>
        <w:jc w:val="both"/>
        <w:rPr>
          <w:rFonts w:ascii="Times New Roman" w:hAnsi="Times New Roman"/>
          <w:sz w:val="24"/>
        </w:rPr>
      </w:pPr>
      <w:r w:rsidRPr="003D6B7D">
        <w:rPr>
          <w:rFonts w:ascii="Times New Roman" w:hAnsi="Times New Roman"/>
          <w:sz w:val="24"/>
        </w:rPr>
        <w:t>The ultimate motivation of this Master's dissertation is not a publication of theoretical machine learning algorithms, but a legacy of a enduring product that tackles a massive global crisis. Climate change cannot be stopped by publishing academic papers, but the creation of enterprise-grade software products that reshape global economic incentives. The Mangrove Carbon Intelligence Platform (MCIP) was designed from day one as an enterprise Software-as-a-Service (SaaS) branded as Coastal Sentinel which is deployed by every coastal nation on the globe.</w:t>
      </w:r>
    </w:p>
    <w:p w14:paraId="44A20E35" w14:textId="77777777" w:rsidR="003D6B7D" w:rsidRPr="003D6B7D" w:rsidRDefault="003D6B7D" w:rsidP="003D6B7D">
      <w:pPr>
        <w:spacing w:after="120" w:line="360" w:lineRule="exact"/>
        <w:jc w:val="both"/>
        <w:rPr>
          <w:rFonts w:ascii="Times New Roman" w:hAnsi="Times New Roman"/>
          <w:sz w:val="24"/>
        </w:rPr>
      </w:pPr>
      <w:r w:rsidRPr="003D6B7D">
        <w:rPr>
          <w:rFonts w:ascii="Times New Roman" w:hAnsi="Times New Roman"/>
          <w:sz w:val="24"/>
        </w:rPr>
        <w:t>Over 120 countries have coastal wetland ecosystems capable of blue carbon sequestration, but less than 15% of these countries monetize the blue carbon resource. There is a fundamental economic barrier to entry: not a lack of mangroves, but the astronomical upfront cost and technical complexity of conventional MRV. The MCIP breaks this economic barrier down, providing an accessible digital infrastructure that allows sovereign governments, regional conservation agencies, and private restoration developers to protect the planet while generating sustainable wealth.</w:t>
      </w:r>
    </w:p>
    <w:p w14:paraId="65400135" w14:textId="1807EECF" w:rsidR="00D42293" w:rsidRDefault="00D42293">
      <w:pPr>
        <w:spacing w:after="120" w:line="360" w:lineRule="exact"/>
        <w:jc w:val="both"/>
      </w:pPr>
    </w:p>
    <w:p w14:paraId="637B4A1C" w14:textId="77777777" w:rsidR="00D42293" w:rsidRDefault="00000000">
      <w:pPr>
        <w:keepNext/>
        <w:spacing w:before="280" w:after="120"/>
      </w:pPr>
      <w:r>
        <w:rPr>
          <w:rFonts w:ascii="Times New Roman" w:hAnsi="Times New Roman"/>
          <w:b/>
          <w:color w:val="005078"/>
          <w:sz w:val="26"/>
        </w:rPr>
        <w:t>6.2 Why Every Coastal Nation Must Adopt MCIP</w:t>
      </w:r>
    </w:p>
    <w:p w14:paraId="5463A1FF" w14:textId="15C66E1F" w:rsidR="003D6B7D" w:rsidRPr="003D6B7D" w:rsidRDefault="003D6B7D" w:rsidP="003D6B7D">
      <w:pPr>
        <w:spacing w:after="120" w:line="360" w:lineRule="exact"/>
        <w:jc w:val="both"/>
        <w:rPr>
          <w:lang w:val="en-IN"/>
        </w:rPr>
      </w:pPr>
      <w:r w:rsidRPr="003D6B7D">
        <w:rPr>
          <w:lang w:val="en-IN"/>
        </w:rPr>
        <w:t>The value proposition of MCIP is based on four pillars that unify the environmental conservation with macroeconomic prosperity:</w:t>
      </w:r>
    </w:p>
    <w:p w14:paraId="0BD6F7AE" w14:textId="0D4A9C51" w:rsidR="00D42293" w:rsidRDefault="00D42293">
      <w:pPr>
        <w:spacing w:after="120" w:line="360" w:lineRule="exact"/>
        <w:jc w:val="both"/>
      </w:pPr>
    </w:p>
    <w:p w14:paraId="50E88A14" w14:textId="77777777" w:rsidR="00D42293" w:rsidRDefault="00000000">
      <w:pPr>
        <w:keepNext/>
        <w:spacing w:before="200" w:after="80"/>
      </w:pPr>
      <w:r>
        <w:rPr>
          <w:rFonts w:ascii="Times New Roman" w:hAnsi="Times New Roman"/>
          <w:b/>
          <w:i/>
          <w:color w:val="282828"/>
          <w:sz w:val="24"/>
        </w:rPr>
        <w:t>6.2.1 Saving Money: Slashing MRV Verification Costs by 70%</w:t>
      </w:r>
    </w:p>
    <w:p w14:paraId="04060021" w14:textId="2CB9F251" w:rsidR="00D42293" w:rsidRDefault="003D6B7D">
      <w:pPr>
        <w:spacing w:after="120" w:line="360" w:lineRule="exact"/>
        <w:jc w:val="both"/>
      </w:pPr>
      <w:r w:rsidRPr="003D6B7D">
        <w:rPr>
          <w:rFonts w:ascii="Times New Roman" w:hAnsi="Times New Roman"/>
          <w:sz w:val="24"/>
        </w:rPr>
        <w:t>Traditional MRV is an economic sinkhole. A physical audit of a 10,000-hectare mangrove concession requires mobilizing specialized field survey teams, chartering shallow-draft marine vessels, deploying sediment coring rigs, and shipping thousands of physical samples to international isotope laboratories. Table 6.1 compares the economic costs of traditional manual MRV against MCIP automated digital MRV over a standard 5-year monitoring cycle.</w:t>
      </w:r>
    </w:p>
    <w:p w14:paraId="753FA3D0" w14:textId="77777777" w:rsidR="00D42293" w:rsidRDefault="00000000">
      <w:pPr>
        <w:spacing w:before="200" w:after="80"/>
      </w:pPr>
      <w:r>
        <w:rPr>
          <w:rFonts w:ascii="Times New Roman" w:hAnsi="Times New Roman"/>
          <w:b/>
          <w:color w:val="1E1E1E"/>
        </w:rPr>
        <w:t>Table 6.1: Economic Cost and Time Comparison: Traditional Field Auditing vs MCIP Automated Digital MRV.</w:t>
      </w:r>
    </w:p>
    <w:tbl>
      <w:tblPr>
        <w:tblStyle w:val="TableGrid"/>
        <w:tblW w:w="0" w:type="auto"/>
        <w:jc w:val="center"/>
        <w:tblLook w:val="04A0" w:firstRow="1" w:lastRow="0" w:firstColumn="1" w:lastColumn="0" w:noHBand="0" w:noVBand="1"/>
      </w:tblPr>
      <w:tblGrid>
        <w:gridCol w:w="2091"/>
        <w:gridCol w:w="2057"/>
        <w:gridCol w:w="2121"/>
        <w:gridCol w:w="1436"/>
        <w:gridCol w:w="1511"/>
      </w:tblGrid>
      <w:tr w:rsidR="00D42293" w14:paraId="0C855D79" w14:textId="77777777">
        <w:trPr>
          <w:jc w:val="center"/>
        </w:trPr>
        <w:tc>
          <w:tcPr>
            <w:tcW w:w="2592" w:type="dxa"/>
            <w:shd w:val="clear" w:color="auto" w:fill="E6ECF2"/>
          </w:tcPr>
          <w:p w14:paraId="257C5AC0" w14:textId="77777777" w:rsidR="00D42293" w:rsidRDefault="00000000">
            <w:pPr>
              <w:jc w:val="center"/>
            </w:pPr>
            <w:r>
              <w:rPr>
                <w:rFonts w:ascii="Times New Roman" w:hAnsi="Times New Roman"/>
                <w:b/>
                <w:color w:val="003366"/>
                <w:sz w:val="20"/>
              </w:rPr>
              <w:t>Audit Expenditure Category</w:t>
            </w:r>
          </w:p>
        </w:tc>
        <w:tc>
          <w:tcPr>
            <w:tcW w:w="2592" w:type="dxa"/>
            <w:shd w:val="clear" w:color="auto" w:fill="E6ECF2"/>
          </w:tcPr>
          <w:p w14:paraId="2EB238B7" w14:textId="77777777" w:rsidR="00D42293" w:rsidRDefault="00000000">
            <w:pPr>
              <w:jc w:val="center"/>
            </w:pPr>
            <w:r>
              <w:rPr>
                <w:rFonts w:ascii="Times New Roman" w:hAnsi="Times New Roman"/>
                <w:b/>
                <w:color w:val="003366"/>
                <w:sz w:val="20"/>
              </w:rPr>
              <w:t>Traditional Manual MRV (5-Year Cycle)</w:t>
            </w:r>
          </w:p>
        </w:tc>
        <w:tc>
          <w:tcPr>
            <w:tcW w:w="2592" w:type="dxa"/>
            <w:shd w:val="clear" w:color="auto" w:fill="E6ECF2"/>
          </w:tcPr>
          <w:p w14:paraId="06368A78" w14:textId="77777777" w:rsidR="00D42293" w:rsidRDefault="00000000">
            <w:pPr>
              <w:jc w:val="center"/>
            </w:pPr>
            <w:r>
              <w:rPr>
                <w:rFonts w:ascii="Times New Roman" w:hAnsi="Times New Roman"/>
                <w:b/>
                <w:color w:val="003366"/>
                <w:sz w:val="20"/>
              </w:rPr>
              <w:t>MCIP Digital MRV (5-Year SaaS)</w:t>
            </w:r>
          </w:p>
        </w:tc>
        <w:tc>
          <w:tcPr>
            <w:tcW w:w="1728" w:type="dxa"/>
            <w:shd w:val="clear" w:color="auto" w:fill="E6ECF2"/>
          </w:tcPr>
          <w:p w14:paraId="756AC3BB" w14:textId="77777777" w:rsidR="00D42293" w:rsidRDefault="00000000">
            <w:pPr>
              <w:jc w:val="center"/>
            </w:pPr>
            <w:r>
              <w:rPr>
                <w:rFonts w:ascii="Times New Roman" w:hAnsi="Times New Roman"/>
                <w:b/>
                <w:color w:val="003366"/>
                <w:sz w:val="20"/>
              </w:rPr>
              <w:t>Direct Cost Savings ($)</w:t>
            </w:r>
          </w:p>
        </w:tc>
        <w:tc>
          <w:tcPr>
            <w:tcW w:w="1728" w:type="dxa"/>
            <w:shd w:val="clear" w:color="auto" w:fill="E6ECF2"/>
          </w:tcPr>
          <w:p w14:paraId="1BE3C83C" w14:textId="77777777" w:rsidR="00D42293" w:rsidRDefault="00000000">
            <w:pPr>
              <w:jc w:val="center"/>
            </w:pPr>
            <w:r>
              <w:rPr>
                <w:rFonts w:ascii="Times New Roman" w:hAnsi="Times New Roman"/>
                <w:b/>
                <w:color w:val="003366"/>
                <w:sz w:val="20"/>
              </w:rPr>
              <w:t>Percentage Savings (%)</w:t>
            </w:r>
          </w:p>
        </w:tc>
      </w:tr>
      <w:tr w:rsidR="00D42293" w14:paraId="5695F8EF" w14:textId="77777777">
        <w:trPr>
          <w:jc w:val="center"/>
        </w:trPr>
        <w:tc>
          <w:tcPr>
            <w:tcW w:w="2592" w:type="dxa"/>
          </w:tcPr>
          <w:p w14:paraId="735F9CDB" w14:textId="77777777" w:rsidR="00D42293" w:rsidRDefault="00000000">
            <w:r>
              <w:rPr>
                <w:rFonts w:ascii="Times New Roman" w:hAnsi="Times New Roman"/>
                <w:sz w:val="20"/>
              </w:rPr>
              <w:t>Field Survey &amp; Logistics</w:t>
            </w:r>
          </w:p>
        </w:tc>
        <w:tc>
          <w:tcPr>
            <w:tcW w:w="2592" w:type="dxa"/>
          </w:tcPr>
          <w:p w14:paraId="36117CB6" w14:textId="77777777" w:rsidR="00D42293" w:rsidRDefault="00000000">
            <w:pPr>
              <w:jc w:val="center"/>
            </w:pPr>
            <w:r>
              <w:rPr>
                <w:rFonts w:ascii="Times New Roman" w:hAnsi="Times New Roman"/>
                <w:sz w:val="20"/>
              </w:rPr>
              <w:t>$180,000 USD</w:t>
            </w:r>
          </w:p>
        </w:tc>
        <w:tc>
          <w:tcPr>
            <w:tcW w:w="2592" w:type="dxa"/>
          </w:tcPr>
          <w:p w14:paraId="57EA3565" w14:textId="77777777" w:rsidR="00D42293" w:rsidRDefault="00000000">
            <w:r>
              <w:rPr>
                <w:rFonts w:ascii="Times New Roman" w:hAnsi="Times New Roman"/>
                <w:sz w:val="20"/>
              </w:rPr>
              <w:t>$15,000 USD (Validation)</w:t>
            </w:r>
          </w:p>
        </w:tc>
        <w:tc>
          <w:tcPr>
            <w:tcW w:w="1728" w:type="dxa"/>
          </w:tcPr>
          <w:p w14:paraId="4F0F5761" w14:textId="77777777" w:rsidR="00D42293" w:rsidRDefault="00000000">
            <w:pPr>
              <w:jc w:val="center"/>
            </w:pPr>
            <w:r>
              <w:rPr>
                <w:rFonts w:ascii="Times New Roman" w:hAnsi="Times New Roman"/>
                <w:sz w:val="20"/>
              </w:rPr>
              <w:t>$165,000 USD</w:t>
            </w:r>
          </w:p>
        </w:tc>
        <w:tc>
          <w:tcPr>
            <w:tcW w:w="1728" w:type="dxa"/>
          </w:tcPr>
          <w:p w14:paraId="1A980F77" w14:textId="77777777" w:rsidR="00D42293" w:rsidRDefault="00000000">
            <w:pPr>
              <w:jc w:val="center"/>
            </w:pPr>
            <w:r>
              <w:rPr>
                <w:rFonts w:ascii="Times New Roman" w:hAnsi="Times New Roman"/>
                <w:sz w:val="20"/>
              </w:rPr>
              <w:t>91.7% Savings</w:t>
            </w:r>
          </w:p>
        </w:tc>
      </w:tr>
      <w:tr w:rsidR="00D42293" w14:paraId="224B5140" w14:textId="77777777">
        <w:trPr>
          <w:jc w:val="center"/>
        </w:trPr>
        <w:tc>
          <w:tcPr>
            <w:tcW w:w="2592" w:type="dxa"/>
          </w:tcPr>
          <w:p w14:paraId="527BC536" w14:textId="77777777" w:rsidR="00D42293" w:rsidRDefault="00000000">
            <w:r>
              <w:rPr>
                <w:rFonts w:ascii="Times New Roman" w:hAnsi="Times New Roman"/>
                <w:sz w:val="20"/>
              </w:rPr>
              <w:lastRenderedPageBreak/>
              <w:t>Isotopic Laboratory Testing</w:t>
            </w:r>
          </w:p>
        </w:tc>
        <w:tc>
          <w:tcPr>
            <w:tcW w:w="2592" w:type="dxa"/>
          </w:tcPr>
          <w:p w14:paraId="71498108" w14:textId="77777777" w:rsidR="00D42293" w:rsidRDefault="00000000">
            <w:pPr>
              <w:jc w:val="center"/>
            </w:pPr>
            <w:r>
              <w:rPr>
                <w:rFonts w:ascii="Times New Roman" w:hAnsi="Times New Roman"/>
                <w:sz w:val="20"/>
              </w:rPr>
              <w:t>$120,000 USD</w:t>
            </w:r>
          </w:p>
        </w:tc>
        <w:tc>
          <w:tcPr>
            <w:tcW w:w="2592" w:type="dxa"/>
          </w:tcPr>
          <w:p w14:paraId="2BE7F6A2" w14:textId="77777777" w:rsidR="00D42293" w:rsidRDefault="00000000">
            <w:r>
              <w:rPr>
                <w:rFonts w:ascii="Times New Roman" w:hAnsi="Times New Roman"/>
                <w:sz w:val="20"/>
              </w:rPr>
              <w:t>$0 USD (ST-GNN Attribution)</w:t>
            </w:r>
          </w:p>
        </w:tc>
        <w:tc>
          <w:tcPr>
            <w:tcW w:w="1728" w:type="dxa"/>
          </w:tcPr>
          <w:p w14:paraId="7CED7FE3" w14:textId="77777777" w:rsidR="00D42293" w:rsidRDefault="00000000">
            <w:pPr>
              <w:jc w:val="center"/>
            </w:pPr>
            <w:r>
              <w:rPr>
                <w:rFonts w:ascii="Times New Roman" w:hAnsi="Times New Roman"/>
                <w:sz w:val="20"/>
              </w:rPr>
              <w:t>$120,000 USD</w:t>
            </w:r>
          </w:p>
        </w:tc>
        <w:tc>
          <w:tcPr>
            <w:tcW w:w="1728" w:type="dxa"/>
          </w:tcPr>
          <w:p w14:paraId="3E501BE7" w14:textId="77777777" w:rsidR="00D42293" w:rsidRDefault="00000000">
            <w:pPr>
              <w:jc w:val="center"/>
            </w:pPr>
            <w:r>
              <w:rPr>
                <w:rFonts w:ascii="Times New Roman" w:hAnsi="Times New Roman"/>
                <w:sz w:val="20"/>
              </w:rPr>
              <w:t>100.0% Savings</w:t>
            </w:r>
          </w:p>
        </w:tc>
      </w:tr>
      <w:tr w:rsidR="00D42293" w14:paraId="58CDA6F7" w14:textId="77777777">
        <w:trPr>
          <w:jc w:val="center"/>
        </w:trPr>
        <w:tc>
          <w:tcPr>
            <w:tcW w:w="2592" w:type="dxa"/>
          </w:tcPr>
          <w:p w14:paraId="3E78C00B" w14:textId="77777777" w:rsidR="00D42293" w:rsidRDefault="00000000">
            <w:r>
              <w:rPr>
                <w:rFonts w:ascii="Times New Roman" w:hAnsi="Times New Roman"/>
                <w:sz w:val="20"/>
              </w:rPr>
              <w:t>Third-Party Audit Fees</w:t>
            </w:r>
          </w:p>
        </w:tc>
        <w:tc>
          <w:tcPr>
            <w:tcW w:w="2592" w:type="dxa"/>
          </w:tcPr>
          <w:p w14:paraId="396C3DE3" w14:textId="77777777" w:rsidR="00D42293" w:rsidRDefault="00000000">
            <w:pPr>
              <w:jc w:val="center"/>
            </w:pPr>
            <w:r>
              <w:rPr>
                <w:rFonts w:ascii="Times New Roman" w:hAnsi="Times New Roman"/>
                <w:sz w:val="20"/>
              </w:rPr>
              <w:t>$90,000 USD</w:t>
            </w:r>
          </w:p>
        </w:tc>
        <w:tc>
          <w:tcPr>
            <w:tcW w:w="2592" w:type="dxa"/>
          </w:tcPr>
          <w:p w14:paraId="088F09C8" w14:textId="77777777" w:rsidR="00D42293" w:rsidRDefault="00000000">
            <w:r>
              <w:rPr>
                <w:rFonts w:ascii="Times New Roman" w:hAnsi="Times New Roman"/>
                <w:sz w:val="20"/>
              </w:rPr>
              <w:t>$30,000 USD (Pre-Audited XAI)</w:t>
            </w:r>
          </w:p>
        </w:tc>
        <w:tc>
          <w:tcPr>
            <w:tcW w:w="1728" w:type="dxa"/>
          </w:tcPr>
          <w:p w14:paraId="7276E8BD" w14:textId="77777777" w:rsidR="00D42293" w:rsidRDefault="00000000">
            <w:pPr>
              <w:jc w:val="center"/>
            </w:pPr>
            <w:r>
              <w:rPr>
                <w:rFonts w:ascii="Times New Roman" w:hAnsi="Times New Roman"/>
                <w:sz w:val="20"/>
              </w:rPr>
              <w:t>$60,000 USD</w:t>
            </w:r>
          </w:p>
        </w:tc>
        <w:tc>
          <w:tcPr>
            <w:tcW w:w="1728" w:type="dxa"/>
          </w:tcPr>
          <w:p w14:paraId="56CB8582" w14:textId="77777777" w:rsidR="00D42293" w:rsidRDefault="00000000">
            <w:pPr>
              <w:jc w:val="center"/>
            </w:pPr>
            <w:r>
              <w:rPr>
                <w:rFonts w:ascii="Times New Roman" w:hAnsi="Times New Roman"/>
                <w:sz w:val="20"/>
              </w:rPr>
              <w:t>66.7% Savings</w:t>
            </w:r>
          </w:p>
        </w:tc>
      </w:tr>
      <w:tr w:rsidR="00D42293" w14:paraId="06A411C3" w14:textId="77777777">
        <w:trPr>
          <w:jc w:val="center"/>
        </w:trPr>
        <w:tc>
          <w:tcPr>
            <w:tcW w:w="2592" w:type="dxa"/>
          </w:tcPr>
          <w:p w14:paraId="648B2A4B" w14:textId="77777777" w:rsidR="00D42293" w:rsidRDefault="00000000">
            <w:r>
              <w:rPr>
                <w:rFonts w:ascii="Times New Roman" w:hAnsi="Times New Roman"/>
                <w:sz w:val="20"/>
              </w:rPr>
              <w:t>SaaS Platform / Software</w:t>
            </w:r>
          </w:p>
        </w:tc>
        <w:tc>
          <w:tcPr>
            <w:tcW w:w="2592" w:type="dxa"/>
          </w:tcPr>
          <w:p w14:paraId="49E273E9" w14:textId="77777777" w:rsidR="00D42293" w:rsidRDefault="00000000">
            <w:pPr>
              <w:jc w:val="center"/>
            </w:pPr>
            <w:r>
              <w:rPr>
                <w:rFonts w:ascii="Times New Roman" w:hAnsi="Times New Roman"/>
                <w:sz w:val="20"/>
              </w:rPr>
              <w:t>$0 USD</w:t>
            </w:r>
          </w:p>
        </w:tc>
        <w:tc>
          <w:tcPr>
            <w:tcW w:w="2592" w:type="dxa"/>
          </w:tcPr>
          <w:p w14:paraId="0F85845E" w14:textId="77777777" w:rsidR="00D42293" w:rsidRDefault="00000000">
            <w:r>
              <w:rPr>
                <w:rFonts w:ascii="Times New Roman" w:hAnsi="Times New Roman"/>
                <w:sz w:val="20"/>
              </w:rPr>
              <w:t>$45,000 USD (Subscription)</w:t>
            </w:r>
          </w:p>
        </w:tc>
        <w:tc>
          <w:tcPr>
            <w:tcW w:w="1728" w:type="dxa"/>
          </w:tcPr>
          <w:p w14:paraId="1033D202" w14:textId="77777777" w:rsidR="00D42293" w:rsidRDefault="00000000">
            <w:pPr>
              <w:jc w:val="center"/>
            </w:pPr>
            <w:r>
              <w:rPr>
                <w:rFonts w:ascii="Times New Roman" w:hAnsi="Times New Roman"/>
                <w:sz w:val="20"/>
              </w:rPr>
              <w:t>-$45,000 USD</w:t>
            </w:r>
          </w:p>
        </w:tc>
        <w:tc>
          <w:tcPr>
            <w:tcW w:w="1728" w:type="dxa"/>
          </w:tcPr>
          <w:p w14:paraId="2F0C519F" w14:textId="77777777" w:rsidR="00D42293" w:rsidRDefault="00000000">
            <w:pPr>
              <w:jc w:val="center"/>
            </w:pPr>
            <w:r>
              <w:rPr>
                <w:rFonts w:ascii="Times New Roman" w:hAnsi="Times New Roman"/>
                <w:sz w:val="20"/>
              </w:rPr>
              <w:t>N/A (Software)</w:t>
            </w:r>
          </w:p>
        </w:tc>
      </w:tr>
      <w:tr w:rsidR="00D42293" w14:paraId="75E82F0E" w14:textId="77777777">
        <w:trPr>
          <w:jc w:val="center"/>
        </w:trPr>
        <w:tc>
          <w:tcPr>
            <w:tcW w:w="2592" w:type="dxa"/>
          </w:tcPr>
          <w:p w14:paraId="5F4A26E0" w14:textId="77777777" w:rsidR="00D42293" w:rsidRDefault="00000000">
            <w:r>
              <w:rPr>
                <w:rFonts w:ascii="Times New Roman" w:hAnsi="Times New Roman"/>
                <w:sz w:val="20"/>
              </w:rPr>
              <w:t>Total 5-Year Expenditure</w:t>
            </w:r>
          </w:p>
        </w:tc>
        <w:tc>
          <w:tcPr>
            <w:tcW w:w="2592" w:type="dxa"/>
          </w:tcPr>
          <w:p w14:paraId="3AC252B1" w14:textId="77777777" w:rsidR="00D42293" w:rsidRDefault="00000000">
            <w:pPr>
              <w:jc w:val="center"/>
            </w:pPr>
            <w:r>
              <w:rPr>
                <w:rFonts w:ascii="Times New Roman" w:hAnsi="Times New Roman"/>
                <w:sz w:val="20"/>
              </w:rPr>
              <w:t>$390,000 USD</w:t>
            </w:r>
          </w:p>
        </w:tc>
        <w:tc>
          <w:tcPr>
            <w:tcW w:w="2592" w:type="dxa"/>
          </w:tcPr>
          <w:p w14:paraId="4BEB18AE" w14:textId="77777777" w:rsidR="00D42293" w:rsidRDefault="00000000">
            <w:pPr>
              <w:jc w:val="center"/>
            </w:pPr>
            <w:r>
              <w:rPr>
                <w:rFonts w:ascii="Times New Roman" w:hAnsi="Times New Roman"/>
                <w:sz w:val="20"/>
              </w:rPr>
              <w:t>$90,000 USD</w:t>
            </w:r>
          </w:p>
        </w:tc>
        <w:tc>
          <w:tcPr>
            <w:tcW w:w="1728" w:type="dxa"/>
          </w:tcPr>
          <w:p w14:paraId="151EB6E3" w14:textId="77777777" w:rsidR="00D42293" w:rsidRDefault="00000000">
            <w:pPr>
              <w:jc w:val="center"/>
            </w:pPr>
            <w:r>
              <w:rPr>
                <w:rFonts w:ascii="Times New Roman" w:hAnsi="Times New Roman"/>
                <w:sz w:val="20"/>
              </w:rPr>
              <w:t>$300,000 USD</w:t>
            </w:r>
          </w:p>
        </w:tc>
        <w:tc>
          <w:tcPr>
            <w:tcW w:w="1728" w:type="dxa"/>
          </w:tcPr>
          <w:p w14:paraId="565AD69D" w14:textId="77777777" w:rsidR="00D42293" w:rsidRDefault="00000000">
            <w:r>
              <w:rPr>
                <w:rFonts w:ascii="Times New Roman" w:hAnsi="Times New Roman"/>
                <w:sz w:val="20"/>
              </w:rPr>
              <w:t>76.9% Net Savings</w:t>
            </w:r>
          </w:p>
        </w:tc>
      </w:tr>
    </w:tbl>
    <w:p w14:paraId="67622D1C" w14:textId="77777777" w:rsidR="00D42293" w:rsidRDefault="00D42293">
      <w:pPr>
        <w:spacing w:before="40" w:after="120"/>
      </w:pPr>
    </w:p>
    <w:p w14:paraId="3C698348" w14:textId="11A421CD" w:rsidR="00D42293" w:rsidRDefault="003D6B7D">
      <w:pPr>
        <w:spacing w:after="120" w:line="360" w:lineRule="exact"/>
        <w:jc w:val="both"/>
      </w:pPr>
      <w:r w:rsidRPr="003D6B7D">
        <w:rPr>
          <w:rFonts w:ascii="Times New Roman" w:hAnsi="Times New Roman"/>
          <w:sz w:val="24"/>
        </w:rPr>
        <w:t>As demonstrated in Table 6.1, MCIP reduces the 5-year MRV verification expenditures from $390,000 USD to $90,000 USD, providing over 76% net savings. The audit preparation timelines are reduced from 12 months to under one week. The radical cost democratization will allow developing coastal nations such as Indonesia, the Philippines, Kenya, and Madagascar to channel capital into actual mangrove restoration instead of administrative overhead.</w:t>
      </w:r>
    </w:p>
    <w:p w14:paraId="36DE4184" w14:textId="77777777" w:rsidR="00D42293" w:rsidRDefault="00000000">
      <w:pPr>
        <w:keepNext/>
        <w:spacing w:before="200" w:after="80"/>
      </w:pPr>
      <w:r>
        <w:rPr>
          <w:rFonts w:ascii="Times New Roman" w:hAnsi="Times New Roman"/>
          <w:b/>
          <w:i/>
          <w:color w:val="282828"/>
          <w:sz w:val="24"/>
        </w:rPr>
        <w:t>6.2.2 Making Money: Unlocking Sovereign Carbon Markets and Industrial Compliance</w:t>
      </w:r>
    </w:p>
    <w:p w14:paraId="11F07722" w14:textId="3BADD62C" w:rsidR="003D6B7D" w:rsidRPr="003D6B7D" w:rsidRDefault="003D6B7D" w:rsidP="003D6B7D">
      <w:pPr>
        <w:spacing w:after="120" w:line="360" w:lineRule="exact"/>
        <w:jc w:val="both"/>
        <w:rPr>
          <w:rFonts w:ascii="Times New Roman" w:hAnsi="Times New Roman"/>
          <w:sz w:val="24"/>
          <w:lang w:val="en-IN"/>
        </w:rPr>
      </w:pPr>
      <w:r w:rsidRPr="003D6B7D">
        <w:rPr>
          <w:rFonts w:ascii="Times New Roman" w:hAnsi="Times New Roman"/>
          <w:sz w:val="24"/>
          <w:lang w:val="en-IN"/>
        </w:rPr>
        <w:t>In addition to the cost saving, MCIP acts as a powerful sovereign revenue generator and catalyst for corporate compliance. Voluntary and compliance carbon markets price high-quality, nature-based removal credits with verifiable ecological co-benefits at a premium. Conventional unverified forestry offsets trade at low rates ($5 to $10 per tCO2e) due to widespread buyer skepticism over additionality and permanence. Blue carbon credits certified under Verra VM0033 trade between $30 and $50+ per tCO2e, driven by the high demand from sovereign entities, sovereign wealth funds, and multinational corporations seeking high-integrity net-zero compliance.</w:t>
      </w:r>
    </w:p>
    <w:p w14:paraId="511720AD" w14:textId="77777777" w:rsidR="003D6B7D" w:rsidRPr="003D6B7D" w:rsidRDefault="003D6B7D" w:rsidP="003D6B7D">
      <w:pPr>
        <w:spacing w:after="120" w:line="360" w:lineRule="exact"/>
        <w:jc w:val="both"/>
        <w:rPr>
          <w:rFonts w:ascii="Times New Roman" w:hAnsi="Times New Roman"/>
          <w:sz w:val="24"/>
          <w:lang w:val="en-IN"/>
        </w:rPr>
      </w:pPr>
      <w:r w:rsidRPr="003D6B7D">
        <w:rPr>
          <w:rFonts w:ascii="Times New Roman" w:hAnsi="Times New Roman"/>
          <w:sz w:val="24"/>
          <w:lang w:val="en-IN"/>
        </w:rPr>
        <w:t xml:space="preserve">In the UAE, this market demand is fueled by statutory legislation and economic policy. Following the enactment of Federal Decree-Law No. 11 of 2023 on the Protection and Development of the Environment (UAE Government, 2023), commercial and industrial facilities operating within the state are subject to mandatory environmental auditing and emissions mitigation standards. Parallel to this statute, the Ministry of Climate Change and Environment launched the UAE Climate-Responsible Companies Pledge (MOCCAE, 2022), in which premier industrial conglomerates spanning heavy manufacturing (Emirates Global Aluminium), aviation (Etihad Airways), energy, and logistics have pledged to calculate their greenhouse gas emissions, implement ambitious reduction targets, and compensate for their unabated residual emissions by purchasing certified carbon offsets. Concurrently, the Abu Dhabi Global Market (ADGM, 2022) and Dubai Financial Market (DFM) have established regulated carbon trading venues, officially classifying carbon credits as regulated </w:t>
      </w:r>
      <w:r w:rsidRPr="003D6B7D">
        <w:rPr>
          <w:rFonts w:ascii="Times New Roman" w:hAnsi="Times New Roman"/>
          <w:sz w:val="24"/>
          <w:lang w:val="en-IN"/>
        </w:rPr>
        <w:lastRenderedPageBreak/>
        <w:t>Environmental Instruments under financial regulatory oversight (Bloomberg, 2023; Reuters, 2023).</w:t>
      </w:r>
    </w:p>
    <w:p w14:paraId="7F4D7811" w14:textId="77777777" w:rsidR="003D6B7D" w:rsidRPr="003D6B7D" w:rsidRDefault="003D6B7D" w:rsidP="003D6B7D">
      <w:pPr>
        <w:spacing w:after="120" w:line="360" w:lineRule="exact"/>
        <w:jc w:val="both"/>
        <w:rPr>
          <w:rFonts w:ascii="Times New Roman" w:hAnsi="Times New Roman"/>
          <w:sz w:val="24"/>
          <w:lang w:val="en-IN"/>
        </w:rPr>
      </w:pPr>
      <w:r w:rsidRPr="003D6B7D">
        <w:rPr>
          <w:rFonts w:ascii="Times New Roman" w:hAnsi="Times New Roman"/>
          <w:sz w:val="24"/>
          <w:lang w:val="en-IN"/>
        </w:rPr>
        <w:t>However, institutional buyers cannot purchase unverified offsets without exposing themselves to severe legal liability and regulation sanctions under Federal Decree-Law No. 11. By providing continuous satellite monitoring, tamper-evident Firestore audit ledgers, and SHAP-verified additionality that computationally deducts allochthonous sediment inflow, MCIP eliminates the risk discount buffers enforced by carbon rating agencies. For the UAE's 100-million mangrove afforestation initiative (MOCCAE, 2021; The National, 2022; WAM, 2022) that is projected to sequester over 400,000 tCO2e annually at stand maturity, achieving verified premium issuance is an economic asset worth over $16 million to $20 million USD annually in tradeable sovereign carbon wealth, directly funded by industrial polluters fulfilling their statutory offsetting obligations.</w:t>
      </w:r>
    </w:p>
    <w:p w14:paraId="39B7DC39" w14:textId="5A04219B" w:rsidR="00D42293" w:rsidRDefault="00D42293">
      <w:pPr>
        <w:spacing w:after="120" w:line="360" w:lineRule="exact"/>
        <w:jc w:val="both"/>
      </w:pPr>
    </w:p>
    <w:p w14:paraId="4F8173CF" w14:textId="5109B6AA" w:rsidR="003D6B7D" w:rsidRPr="003D6B7D" w:rsidRDefault="00000000" w:rsidP="003D6B7D">
      <w:pPr>
        <w:keepNext/>
        <w:spacing w:before="200" w:after="80"/>
      </w:pPr>
      <w:r>
        <w:rPr>
          <w:rFonts w:ascii="Times New Roman" w:hAnsi="Times New Roman"/>
          <w:b/>
          <w:i/>
          <w:color w:val="282828"/>
          <w:sz w:val="24"/>
        </w:rPr>
        <w:t>6.2.3 Saving and Making the Environment: High-Integrity Restoration</w:t>
      </w:r>
    </w:p>
    <w:p w14:paraId="10C15CDB" w14:textId="344D9B4A" w:rsidR="003D6B7D" w:rsidRPr="003D6B7D" w:rsidRDefault="003D6B7D" w:rsidP="003D6B7D">
      <w:pPr>
        <w:spacing w:after="120" w:line="360" w:lineRule="exact"/>
        <w:jc w:val="both"/>
        <w:rPr>
          <w:rFonts w:ascii="Times New Roman" w:hAnsi="Times New Roman"/>
          <w:sz w:val="24"/>
        </w:rPr>
      </w:pPr>
      <w:r w:rsidRPr="003D6B7D">
        <w:rPr>
          <w:rFonts w:ascii="Times New Roman" w:hAnsi="Times New Roman"/>
          <w:sz w:val="24"/>
        </w:rPr>
        <w:t>The ultimate mission of MCIP is the ecological one. Mangroves are not just carbon sponges, they are the biophysical sentinels of the coast, protecting against coastal erosion, sheltering juvenile fisheries that sustain coastal livelihoods, and purifying coastal waters. MCIP saves the environment by transforming conservation from reactive damage assessment into proactive threat prevention. The Dual Alert Engine flags environmental degradation in real time, allowing authorities to stop illegal land reclamation, manage hypersaline discharges from desalination plants, and respond to oil spills before ecosystems suffer permanent collapse.</w:t>
      </w:r>
    </w:p>
    <w:p w14:paraId="6513E8A4" w14:textId="77777777" w:rsidR="003D6B7D" w:rsidRPr="003D6B7D" w:rsidRDefault="003D6B7D" w:rsidP="003D6B7D">
      <w:pPr>
        <w:spacing w:after="120" w:line="360" w:lineRule="exact"/>
        <w:jc w:val="both"/>
        <w:rPr>
          <w:rFonts w:ascii="Times New Roman" w:hAnsi="Times New Roman"/>
          <w:sz w:val="24"/>
        </w:rPr>
      </w:pPr>
      <w:r w:rsidRPr="003D6B7D">
        <w:rPr>
          <w:rFonts w:ascii="Times New Roman" w:hAnsi="Times New Roman"/>
          <w:sz w:val="24"/>
        </w:rPr>
        <w:t>Simultaneously, MCIP 'makes the environment' by accelerating massive afforestation. By mapping historical stand growth, PAI carrying capacity, and tidal flushing dynamics across 53 patches, MCIP provides sovereign planners with algorithmic precision: identifying the exact coastal estuaries where planting saplings will yield maximum survival rates and optimize long-term carbon sequestration.</w:t>
      </w:r>
    </w:p>
    <w:p w14:paraId="3444B27A" w14:textId="47D0C66D" w:rsidR="00D42293" w:rsidRDefault="00D42293">
      <w:pPr>
        <w:spacing w:after="120" w:line="360" w:lineRule="exact"/>
        <w:jc w:val="both"/>
      </w:pPr>
    </w:p>
    <w:p w14:paraId="4A7FC9D6" w14:textId="77777777" w:rsidR="00D42293" w:rsidRDefault="00000000">
      <w:pPr>
        <w:keepNext/>
        <w:spacing w:before="280" w:after="120"/>
      </w:pPr>
      <w:r>
        <w:rPr>
          <w:rFonts w:ascii="Times New Roman" w:hAnsi="Times New Roman"/>
          <w:b/>
          <w:color w:val="005078"/>
          <w:sz w:val="26"/>
        </w:rPr>
        <w:t>6.3 SaaS Commercial Architecture, Multi-Tenancy, and Monetization</w:t>
      </w:r>
    </w:p>
    <w:p w14:paraId="778A1F74" w14:textId="5BA18AB3" w:rsidR="003D6B7D" w:rsidRPr="003D6B7D" w:rsidRDefault="003D6B7D" w:rsidP="003D6B7D">
      <w:pPr>
        <w:spacing w:after="120" w:line="360" w:lineRule="exact"/>
        <w:jc w:val="both"/>
        <w:rPr>
          <w:lang w:val="en-IN"/>
        </w:rPr>
      </w:pPr>
      <w:r w:rsidRPr="003D6B7D">
        <w:rPr>
          <w:lang w:val="en-IN"/>
        </w:rPr>
        <w:t>To scale globally, the Coastal Sentinel platform is designed as a multi-tenant cloud SaaS platform. The commercial model includes 3 subscription tiers:</w:t>
      </w:r>
    </w:p>
    <w:p w14:paraId="236EF694" w14:textId="08E59E74" w:rsidR="00D42293" w:rsidRDefault="00D42293">
      <w:pPr>
        <w:spacing w:after="120" w:line="360" w:lineRule="exact"/>
        <w:jc w:val="both"/>
      </w:pPr>
    </w:p>
    <w:p w14:paraId="72F64B74" w14:textId="3C326FA1" w:rsidR="00D42293" w:rsidRDefault="00000000">
      <w:pPr>
        <w:pStyle w:val="ListBullet"/>
        <w:spacing w:before="40" w:after="60" w:line="360" w:lineRule="exact"/>
        <w:ind w:left="576"/>
      </w:pPr>
      <w:r>
        <w:rPr>
          <w:rFonts w:ascii="Times New Roman" w:hAnsi="Times New Roman"/>
          <w:b/>
          <w:sz w:val="24"/>
        </w:rPr>
        <w:lastRenderedPageBreak/>
        <w:t xml:space="preserve">1. Sovereign / Ministry Tier: </w:t>
      </w:r>
      <w:r w:rsidR="003D6B7D" w:rsidRPr="003D6B7D">
        <w:rPr>
          <w:rFonts w:ascii="Times New Roman" w:hAnsi="Times New Roman"/>
          <w:sz w:val="24"/>
        </w:rPr>
        <w:t>Targeted at national environment ministries (e.g. MOCCAE) and regional environment agencies. Provides unrestricted access to national coastal mapping, full 68-month historical cubes, automated Verra compliance reporting, and national carbon registry ledger management.</w:t>
      </w:r>
    </w:p>
    <w:p w14:paraId="6DB98A1D" w14:textId="303C44FD" w:rsidR="00D42293" w:rsidRDefault="00000000">
      <w:pPr>
        <w:pStyle w:val="ListBullet"/>
        <w:spacing w:before="40" w:after="60" w:line="360" w:lineRule="exact"/>
        <w:ind w:left="576"/>
      </w:pPr>
      <w:r>
        <w:rPr>
          <w:rFonts w:ascii="Times New Roman" w:hAnsi="Times New Roman"/>
          <w:b/>
          <w:sz w:val="24"/>
        </w:rPr>
        <w:t xml:space="preserve">2. Project Developer Tier: </w:t>
      </w:r>
      <w:r w:rsidR="003D6B7D" w:rsidRPr="003D6B7D">
        <w:rPr>
          <w:rFonts w:ascii="Times New Roman" w:hAnsi="Times New Roman"/>
          <w:sz w:val="24"/>
        </w:rPr>
        <w:t>Tailored for commercial afforestation and carbon project developers managing specific concessions (5,000–50,000 hectares). Features patch-level anomaly monitoring, ST-GNN 12-month forward forecasting, and pre-audited digital verification packages.</w:t>
      </w:r>
    </w:p>
    <w:p w14:paraId="01F466D0" w14:textId="1B8FFAAA" w:rsidR="00D42293" w:rsidRDefault="00000000">
      <w:pPr>
        <w:pStyle w:val="ListBullet"/>
        <w:spacing w:before="40" w:after="60" w:line="360" w:lineRule="exact"/>
        <w:ind w:left="576"/>
      </w:pPr>
      <w:r>
        <w:rPr>
          <w:rFonts w:ascii="Times New Roman" w:hAnsi="Times New Roman"/>
          <w:b/>
          <w:sz w:val="24"/>
        </w:rPr>
        <w:t xml:space="preserve">3. Corporate ESG Sponsorship Tier: </w:t>
      </w:r>
      <w:r w:rsidR="003D6B7D" w:rsidRPr="003D6B7D">
        <w:rPr>
          <w:rFonts w:ascii="Times New Roman" w:hAnsi="Times New Roman"/>
          <w:sz w:val="24"/>
        </w:rPr>
        <w:t>Designed for institutional investors, airlines, and financial corporations. Allows direct sponsorship of verified patches, providing live biodiversity telemetry, satellite greenness feeds, and cryptographically verified ESG impact proofs for annual sustainability disclosures.</w:t>
      </w:r>
    </w:p>
    <w:p w14:paraId="1818D8CF" w14:textId="77777777" w:rsidR="00D42293" w:rsidRDefault="00000000">
      <w:pPr>
        <w:keepNext/>
        <w:spacing w:before="280" w:after="120"/>
      </w:pPr>
      <w:r>
        <w:rPr>
          <w:rFonts w:ascii="Times New Roman" w:hAnsi="Times New Roman"/>
          <w:b/>
          <w:color w:val="005078"/>
          <w:sz w:val="26"/>
        </w:rPr>
        <w:t>6.4 Strategic Recommendations for National Regulators and COP Delegations</w:t>
      </w:r>
    </w:p>
    <w:p w14:paraId="0C424D3A" w14:textId="26EF25FD" w:rsidR="00D42293" w:rsidRDefault="003D6B7D">
      <w:pPr>
        <w:spacing w:after="120" w:line="360" w:lineRule="exact"/>
        <w:jc w:val="both"/>
      </w:pPr>
      <w:r w:rsidRPr="003D6B7D">
        <w:rPr>
          <w:rFonts w:ascii="Times New Roman" w:hAnsi="Times New Roman"/>
          <w:sz w:val="24"/>
        </w:rPr>
        <w:t>Based on the technical and economic findings of this thesis, four policy recommendations are proposed for government regulators and international delegations:</w:t>
      </w:r>
    </w:p>
    <w:p w14:paraId="6699743F" w14:textId="77777777" w:rsidR="00D42293" w:rsidRDefault="00000000">
      <w:pPr>
        <w:spacing w:before="40" w:after="60" w:line="360" w:lineRule="exact"/>
        <w:ind w:left="576"/>
      </w:pPr>
      <w:r>
        <w:rPr>
          <w:rFonts w:ascii="Times New Roman" w:hAnsi="Times New Roman"/>
          <w:b/>
          <w:sz w:val="24"/>
        </w:rPr>
        <w:t xml:space="preserve">1. Establish National Digital MRV Standards:  </w:t>
      </w:r>
      <w:r>
        <w:rPr>
          <w:rFonts w:ascii="Times New Roman" w:hAnsi="Times New Roman"/>
          <w:sz w:val="24"/>
        </w:rPr>
        <w:t>Sovereign regulators should formally codify satellite-based, graph-driven digital MRV within national climate legislation, establishing clear evidentiary thresholds that recognize transfer-learned neural imputation in national carbon inventories.</w:t>
      </w:r>
    </w:p>
    <w:p w14:paraId="280D8E59" w14:textId="7C849341" w:rsidR="00D42293" w:rsidRDefault="00000000">
      <w:pPr>
        <w:spacing w:before="40" w:after="60" w:line="360" w:lineRule="exact"/>
        <w:ind w:left="576"/>
      </w:pPr>
      <w:r>
        <w:rPr>
          <w:rFonts w:ascii="Times New Roman" w:hAnsi="Times New Roman"/>
          <w:b/>
          <w:sz w:val="24"/>
        </w:rPr>
        <w:t xml:space="preserve">2. Harmonize Corporate Offsetting with Digital Verification:  </w:t>
      </w:r>
      <w:r w:rsidR="003D6B7D" w:rsidRPr="003D6B7D">
        <w:rPr>
          <w:rFonts w:ascii="Times New Roman" w:hAnsi="Times New Roman"/>
          <w:sz w:val="24"/>
        </w:rPr>
        <w:t>Environmental authorities enforcing UAE Federal Decree-Law No. 11 of 2023 and the Climate-Responsible Companies Pledge should mandate that industrial emitters compensate for their residual emissions exclusively through digital-MRV-verified credits, ensuring that corporate capital flows into verified, unreversed ecological restoration.</w:t>
      </w:r>
    </w:p>
    <w:p w14:paraId="2B1AB0AB" w14:textId="77777777" w:rsidR="00D42293" w:rsidRDefault="00000000">
      <w:pPr>
        <w:spacing w:before="40" w:after="60" w:line="360" w:lineRule="exact"/>
        <w:ind w:left="576"/>
      </w:pPr>
      <w:r>
        <w:rPr>
          <w:rFonts w:ascii="Times New Roman" w:hAnsi="Times New Roman"/>
          <w:b/>
          <w:sz w:val="24"/>
        </w:rPr>
        <w:t xml:space="preserve">3. Mandate Article 6 Ledger Integration:  </w:t>
      </w:r>
      <w:r>
        <w:rPr>
          <w:rFonts w:ascii="Times New Roman" w:hAnsi="Times New Roman"/>
          <w:sz w:val="24"/>
        </w:rPr>
        <w:t>To prevent international double-counting, national carbon registries should require digital serialisation tied directly to satellite-verified patch coordinates, ensuring full interoperability with Article 6.2 and 6.4 international transfer mechanisms.</w:t>
      </w:r>
    </w:p>
    <w:p w14:paraId="39F85CC6" w14:textId="77777777" w:rsidR="00D42293" w:rsidRDefault="00000000">
      <w:pPr>
        <w:spacing w:before="40" w:after="60" w:line="360" w:lineRule="exact"/>
        <w:ind w:left="576"/>
      </w:pPr>
      <w:r>
        <w:rPr>
          <w:rFonts w:ascii="Times New Roman" w:hAnsi="Times New Roman"/>
          <w:b/>
          <w:sz w:val="24"/>
        </w:rPr>
        <w:t xml:space="preserve">4. Incentivise Early Threat Warning Integration:  </w:t>
      </w:r>
      <w:r>
        <w:rPr>
          <w:rFonts w:ascii="Times New Roman" w:hAnsi="Times New Roman"/>
          <w:sz w:val="24"/>
        </w:rPr>
        <w:t>Environmental protection agencies should integrate automated satellite alert systems directly into coastal policing and industrial licensing workflows, imposing immediate stop-work orders when dredging turbidity exceeds alert thresholds.</w:t>
      </w:r>
    </w:p>
    <w:p w14:paraId="080BEACE" w14:textId="77777777" w:rsidR="00D42293" w:rsidRDefault="00000000">
      <w:r>
        <w:br w:type="page"/>
      </w:r>
    </w:p>
    <w:p w14:paraId="4C3B9044" w14:textId="77777777" w:rsidR="00D42293" w:rsidRDefault="00000000">
      <w:pPr>
        <w:keepNext/>
        <w:spacing w:before="360" w:after="240"/>
      </w:pPr>
      <w:r>
        <w:rPr>
          <w:rFonts w:ascii="Times New Roman" w:hAnsi="Times New Roman"/>
          <w:b/>
          <w:color w:val="003366"/>
          <w:sz w:val="32"/>
        </w:rPr>
        <w:lastRenderedPageBreak/>
        <w:t>Chapter 7: Conclusion and Future Work</w:t>
      </w:r>
    </w:p>
    <w:p w14:paraId="241A59B8" w14:textId="77777777" w:rsidR="00D42293" w:rsidRDefault="00000000">
      <w:pPr>
        <w:keepNext/>
        <w:spacing w:before="280" w:after="120"/>
      </w:pPr>
      <w:r>
        <w:rPr>
          <w:rFonts w:ascii="Times New Roman" w:hAnsi="Times New Roman"/>
          <w:b/>
          <w:color w:val="005078"/>
          <w:sz w:val="26"/>
        </w:rPr>
        <w:t>7.1 Conclusion &amp; Synthesis of Findings</w:t>
      </w:r>
    </w:p>
    <w:p w14:paraId="3B6CAAA0" w14:textId="677D0537" w:rsidR="003D6B7D" w:rsidRPr="003D6B7D" w:rsidRDefault="003D6B7D" w:rsidP="003D6B7D">
      <w:pPr>
        <w:spacing w:after="120" w:line="360" w:lineRule="exact"/>
        <w:jc w:val="both"/>
        <w:rPr>
          <w:rFonts w:ascii="Times New Roman" w:hAnsi="Times New Roman"/>
          <w:sz w:val="24"/>
          <w:lang w:val="en-IN"/>
        </w:rPr>
      </w:pPr>
      <w:r w:rsidRPr="003D6B7D">
        <w:rPr>
          <w:rFonts w:ascii="Times New Roman" w:hAnsi="Times New Roman"/>
          <w:sz w:val="24"/>
          <w:lang w:val="en-IN"/>
        </w:rPr>
        <w:t>This Master's dissertation has introduced the design, implementation, and rigorous experimental validation of the Mangrove Carbon Intelligence Platform (MCIP) - an autonomous, digital blue carbon Measurement, Reporting, and Verification (MRV) platform tailored for arid coastal environments. Motivated by the global climate imperative and UAE's COP28 mandate to plant 100 million mangroves by 2030, this research addressed the critical scientific bottlenecks of conventional blue carbon verification: extreme spatial data sparsity, prohibitive isotopic laboratory costs, destructive sediment coring, and inability to computationally separate allochthonous tidal carbon from autochthonous vegetative growth.</w:t>
      </w:r>
    </w:p>
    <w:p w14:paraId="52DA93F1" w14:textId="77777777" w:rsidR="003D6B7D" w:rsidRPr="003D6B7D" w:rsidRDefault="003D6B7D" w:rsidP="003D6B7D">
      <w:pPr>
        <w:spacing w:after="120" w:line="360" w:lineRule="exact"/>
        <w:jc w:val="both"/>
        <w:rPr>
          <w:rFonts w:ascii="Times New Roman" w:hAnsi="Times New Roman"/>
          <w:sz w:val="24"/>
          <w:lang w:val="en-IN"/>
        </w:rPr>
      </w:pPr>
      <w:r w:rsidRPr="003D6B7D">
        <w:rPr>
          <w:rFonts w:ascii="Times New Roman" w:hAnsi="Times New Roman"/>
          <w:sz w:val="24"/>
          <w:lang w:val="en-IN"/>
        </w:rPr>
        <w:t>The technical synthesis of the research artefacts, scientific contributions, and commercial impacts achieved in this dissertation is summarized in Table 7.1.</w:t>
      </w:r>
    </w:p>
    <w:p w14:paraId="2B0CB637" w14:textId="266A59E5" w:rsidR="00D42293" w:rsidRDefault="00D42293">
      <w:pPr>
        <w:spacing w:after="120" w:line="360" w:lineRule="exact"/>
        <w:jc w:val="both"/>
      </w:pPr>
    </w:p>
    <w:p w14:paraId="21B72616" w14:textId="77777777" w:rsidR="00D42293" w:rsidRDefault="00000000">
      <w:pPr>
        <w:spacing w:before="200" w:after="80"/>
      </w:pPr>
      <w:r>
        <w:rPr>
          <w:rFonts w:ascii="Times New Roman" w:hAnsi="Times New Roman"/>
          <w:b/>
          <w:color w:val="1E1E1E"/>
        </w:rPr>
        <w:t>Table 7.1: Synthesis of Research Artefacts, Scientific Innovations, and Commercial Impacts.</w:t>
      </w:r>
    </w:p>
    <w:tbl>
      <w:tblPr>
        <w:tblStyle w:val="TableGrid"/>
        <w:tblW w:w="0" w:type="auto"/>
        <w:jc w:val="center"/>
        <w:tblLook w:val="04A0" w:firstRow="1" w:lastRow="0" w:firstColumn="1" w:lastColumn="0" w:noHBand="0" w:noVBand="1"/>
      </w:tblPr>
      <w:tblGrid>
        <w:gridCol w:w="1886"/>
        <w:gridCol w:w="2527"/>
        <w:gridCol w:w="2387"/>
        <w:gridCol w:w="2416"/>
      </w:tblGrid>
      <w:tr w:rsidR="00D42293" w14:paraId="22581E11" w14:textId="77777777">
        <w:trPr>
          <w:jc w:val="center"/>
        </w:trPr>
        <w:tc>
          <w:tcPr>
            <w:tcW w:w="2016" w:type="dxa"/>
            <w:shd w:val="clear" w:color="auto" w:fill="E6ECF2"/>
          </w:tcPr>
          <w:p w14:paraId="0A3CE61F" w14:textId="77777777" w:rsidR="00D42293" w:rsidRDefault="00000000">
            <w:pPr>
              <w:jc w:val="center"/>
            </w:pPr>
            <w:r>
              <w:rPr>
                <w:rFonts w:ascii="Times New Roman" w:hAnsi="Times New Roman"/>
                <w:b/>
                <w:color w:val="003366"/>
                <w:sz w:val="20"/>
              </w:rPr>
              <w:t>Platform Component</w:t>
            </w:r>
          </w:p>
        </w:tc>
        <w:tc>
          <w:tcPr>
            <w:tcW w:w="2592" w:type="dxa"/>
            <w:shd w:val="clear" w:color="auto" w:fill="E6ECF2"/>
          </w:tcPr>
          <w:p w14:paraId="5D54FBB7" w14:textId="77777777" w:rsidR="00D42293" w:rsidRDefault="00000000">
            <w:pPr>
              <w:jc w:val="center"/>
            </w:pPr>
            <w:r>
              <w:rPr>
                <w:rFonts w:ascii="Times New Roman" w:hAnsi="Times New Roman"/>
                <w:b/>
                <w:color w:val="003366"/>
                <w:sz w:val="20"/>
              </w:rPr>
              <w:t>Core Scientific Artefact</w:t>
            </w:r>
          </w:p>
        </w:tc>
        <w:tc>
          <w:tcPr>
            <w:tcW w:w="2592" w:type="dxa"/>
            <w:shd w:val="clear" w:color="auto" w:fill="E6ECF2"/>
          </w:tcPr>
          <w:p w14:paraId="20498E1F" w14:textId="77777777" w:rsidR="00D42293" w:rsidRDefault="00000000">
            <w:pPr>
              <w:jc w:val="center"/>
            </w:pPr>
            <w:r>
              <w:rPr>
                <w:rFonts w:ascii="Times New Roman" w:hAnsi="Times New Roman"/>
                <w:b/>
                <w:color w:val="003366"/>
                <w:sz w:val="20"/>
              </w:rPr>
              <w:t>Empirical Benchmark / Performance</w:t>
            </w:r>
          </w:p>
        </w:tc>
        <w:tc>
          <w:tcPr>
            <w:tcW w:w="2592" w:type="dxa"/>
            <w:shd w:val="clear" w:color="auto" w:fill="E6ECF2"/>
          </w:tcPr>
          <w:p w14:paraId="40DE11A8" w14:textId="77777777" w:rsidR="00D42293" w:rsidRDefault="00000000">
            <w:pPr>
              <w:jc w:val="center"/>
            </w:pPr>
            <w:r>
              <w:rPr>
                <w:rFonts w:ascii="Times New Roman" w:hAnsi="Times New Roman"/>
                <w:b/>
                <w:color w:val="003366"/>
                <w:sz w:val="20"/>
              </w:rPr>
              <w:t>Commercial &amp; Environmental Impact</w:t>
            </w:r>
          </w:p>
        </w:tc>
      </w:tr>
      <w:tr w:rsidR="00D42293" w14:paraId="036FB0AF" w14:textId="77777777">
        <w:trPr>
          <w:jc w:val="center"/>
        </w:trPr>
        <w:tc>
          <w:tcPr>
            <w:tcW w:w="2016" w:type="dxa"/>
          </w:tcPr>
          <w:p w14:paraId="29864952" w14:textId="77777777" w:rsidR="00D42293" w:rsidRDefault="00000000">
            <w:r>
              <w:rPr>
                <w:rFonts w:ascii="Times New Roman" w:hAnsi="Times New Roman"/>
                <w:sz w:val="20"/>
              </w:rPr>
              <w:t>Stage 0 &amp; 1 Data Pipeline</w:t>
            </w:r>
          </w:p>
        </w:tc>
        <w:tc>
          <w:tcPr>
            <w:tcW w:w="2592" w:type="dxa"/>
          </w:tcPr>
          <w:p w14:paraId="1FB78BC8" w14:textId="77777777" w:rsidR="00D42293" w:rsidRDefault="00000000">
            <w:r>
              <w:rPr>
                <w:rFonts w:ascii="Times New Roman" w:hAnsi="Times New Roman"/>
                <w:sz w:val="20"/>
              </w:rPr>
              <w:t>Deep ANN Pixel Classifier &amp; Class Balancing (RandomUnderSampler)</w:t>
            </w:r>
          </w:p>
        </w:tc>
        <w:tc>
          <w:tcPr>
            <w:tcW w:w="2592" w:type="dxa"/>
          </w:tcPr>
          <w:p w14:paraId="5F7A4BF3" w14:textId="77777777" w:rsidR="00D42293" w:rsidRDefault="00000000">
            <w:r>
              <w:rPr>
                <w:rFonts w:ascii="Times New Roman" w:hAnsi="Times New Roman"/>
                <w:sz w:val="20"/>
              </w:rPr>
              <w:t>Training Acc: 99.95%, Val Loss: 0.00073; F1: 0.9995 across 5 land classes</w:t>
            </w:r>
          </w:p>
        </w:tc>
        <w:tc>
          <w:tcPr>
            <w:tcW w:w="2592" w:type="dxa"/>
          </w:tcPr>
          <w:p w14:paraId="71C09060" w14:textId="77777777" w:rsidR="00D42293" w:rsidRDefault="00000000">
            <w:r>
              <w:rPr>
                <w:rFonts w:ascii="Times New Roman" w:hAnsi="Times New Roman"/>
                <w:sz w:val="20"/>
              </w:rPr>
              <w:t>Isolates 3,230 verified coastal mangrove points, eliminating spectral confusion.</w:t>
            </w:r>
          </w:p>
        </w:tc>
      </w:tr>
      <w:tr w:rsidR="00D42293" w14:paraId="3544BCAA" w14:textId="77777777">
        <w:trPr>
          <w:jc w:val="center"/>
        </w:trPr>
        <w:tc>
          <w:tcPr>
            <w:tcW w:w="2016" w:type="dxa"/>
          </w:tcPr>
          <w:p w14:paraId="6ED9DC26" w14:textId="77777777" w:rsidR="00D42293" w:rsidRDefault="00000000">
            <w:r>
              <w:rPr>
                <w:rFonts w:ascii="Times New Roman" w:hAnsi="Times New Roman"/>
                <w:sz w:val="20"/>
              </w:rPr>
              <w:t>Stage 2 &amp; 3 Imputation</w:t>
            </w:r>
          </w:p>
        </w:tc>
        <w:tc>
          <w:tcPr>
            <w:tcW w:w="2592" w:type="dxa"/>
          </w:tcPr>
          <w:p w14:paraId="36DF8EF3" w14:textId="77777777" w:rsidR="00D42293" w:rsidRDefault="00000000">
            <w:r>
              <w:rPr>
                <w:rFonts w:ascii="Times New Roman" w:hAnsi="Times New Roman"/>
                <w:sz w:val="20"/>
              </w:rPr>
              <w:t>Multi-Target Neural Imputation via Sundarbans Transfer Learning</w:t>
            </w:r>
          </w:p>
        </w:tc>
        <w:tc>
          <w:tcPr>
            <w:tcW w:w="2592" w:type="dxa"/>
          </w:tcPr>
          <w:p w14:paraId="397BBE8B" w14:textId="77777777" w:rsidR="00D42293" w:rsidRDefault="00000000">
            <w:r>
              <w:rPr>
                <w:rFonts w:ascii="Times New Roman" w:hAnsi="Times New Roman"/>
                <w:sz w:val="20"/>
              </w:rPr>
              <w:t>rh100 Val MSE: 9.81 (RMSE 3.13 m, R² 0.842) across 8 GEDI structural targets</w:t>
            </w:r>
          </w:p>
        </w:tc>
        <w:tc>
          <w:tcPr>
            <w:tcW w:w="2592" w:type="dxa"/>
          </w:tcPr>
          <w:p w14:paraId="5B49B229" w14:textId="77777777" w:rsidR="00D42293" w:rsidRDefault="00000000">
            <w:r>
              <w:rPr>
                <w:rFonts w:ascii="Times New Roman" w:hAnsi="Times New Roman"/>
                <w:sz w:val="20"/>
              </w:rPr>
              <w:t>Bridges NASA GEDI orbital gaps without requiring multi-million dollar field surveys.</w:t>
            </w:r>
          </w:p>
        </w:tc>
      </w:tr>
      <w:tr w:rsidR="00D42293" w14:paraId="3FE57FE8" w14:textId="77777777">
        <w:trPr>
          <w:jc w:val="center"/>
        </w:trPr>
        <w:tc>
          <w:tcPr>
            <w:tcW w:w="2016" w:type="dxa"/>
          </w:tcPr>
          <w:p w14:paraId="2906A392" w14:textId="77777777" w:rsidR="00D42293" w:rsidRDefault="00000000">
            <w:r>
              <w:rPr>
                <w:rFonts w:ascii="Times New Roman" w:hAnsi="Times New Roman"/>
                <w:sz w:val="20"/>
              </w:rPr>
              <w:t>Stage 3 Graph Modeling</w:t>
            </w:r>
          </w:p>
        </w:tc>
        <w:tc>
          <w:tcPr>
            <w:tcW w:w="2592" w:type="dxa"/>
          </w:tcPr>
          <w:p w14:paraId="7EBDDB65" w14:textId="77777777" w:rsidR="00D42293" w:rsidRDefault="00000000">
            <w:r>
              <w:rPr>
                <w:rFonts w:ascii="Times New Roman" w:hAnsi="Times New Roman"/>
                <w:sz w:val="20"/>
              </w:rPr>
              <w:t>Topological Graph (53 nodes, 86 directed edges) &amp; ST-GNN Engine</w:t>
            </w:r>
          </w:p>
        </w:tc>
        <w:tc>
          <w:tcPr>
            <w:tcW w:w="2592" w:type="dxa"/>
          </w:tcPr>
          <w:p w14:paraId="5496BD35" w14:textId="77777777" w:rsidR="00D42293" w:rsidRDefault="00000000">
            <w:r>
              <w:rPr>
                <w:rFonts w:ascii="Times New Roman" w:hAnsi="Times New Roman"/>
                <w:sz w:val="20"/>
              </w:rPr>
              <w:t>RMSE: 0.0874, MAE: 0.0740, R²: 0.912, NSE: 0.895 (Outperforms RF by 64%)</w:t>
            </w:r>
          </w:p>
        </w:tc>
        <w:tc>
          <w:tcPr>
            <w:tcW w:w="2592" w:type="dxa"/>
          </w:tcPr>
          <w:p w14:paraId="35E57C7C" w14:textId="77777777" w:rsidR="00D42293" w:rsidRDefault="00000000">
            <w:r>
              <w:rPr>
                <w:rFonts w:ascii="Times New Roman" w:hAnsi="Times New Roman"/>
                <w:sz w:val="20"/>
              </w:rPr>
              <w:t>Models tidal sediment flux, verifying Verra VM0033 allochthonous additionality.</w:t>
            </w:r>
          </w:p>
        </w:tc>
      </w:tr>
      <w:tr w:rsidR="00D42293" w14:paraId="271AEFE4" w14:textId="77777777">
        <w:trPr>
          <w:jc w:val="center"/>
        </w:trPr>
        <w:tc>
          <w:tcPr>
            <w:tcW w:w="2016" w:type="dxa"/>
          </w:tcPr>
          <w:p w14:paraId="6268BF78" w14:textId="77777777" w:rsidR="00D42293" w:rsidRDefault="00000000">
            <w:r>
              <w:rPr>
                <w:rFonts w:ascii="Times New Roman" w:hAnsi="Times New Roman"/>
                <w:sz w:val="20"/>
              </w:rPr>
              <w:t>Stage 4 XAI &amp; Compliance</w:t>
            </w:r>
          </w:p>
        </w:tc>
        <w:tc>
          <w:tcPr>
            <w:tcW w:w="2592" w:type="dxa"/>
          </w:tcPr>
          <w:p w14:paraId="678656C7" w14:textId="77777777" w:rsidR="00D42293" w:rsidRDefault="00000000">
            <w:r>
              <w:rPr>
                <w:rFonts w:ascii="Times New Roman" w:hAnsi="Times New Roman"/>
                <w:sz w:val="20"/>
              </w:rPr>
              <w:t>SHAP Feature Attribution &amp; Gemini 2.5 Flash Auditing Drawer</w:t>
            </w:r>
          </w:p>
        </w:tc>
        <w:tc>
          <w:tcPr>
            <w:tcW w:w="2592" w:type="dxa"/>
          </w:tcPr>
          <w:p w14:paraId="27BBF79F" w14:textId="77777777" w:rsidR="00D42293" w:rsidRDefault="00000000">
            <w:r>
              <w:rPr>
                <w:rFonts w:ascii="Times New Roman" w:hAnsi="Times New Roman"/>
                <w:sz w:val="20"/>
              </w:rPr>
              <w:t>100% causal attribution accuracy across 150 stress scenarios; 1.42s latency</w:t>
            </w:r>
          </w:p>
        </w:tc>
        <w:tc>
          <w:tcPr>
            <w:tcW w:w="2592" w:type="dxa"/>
          </w:tcPr>
          <w:p w14:paraId="711754BE" w14:textId="77777777" w:rsidR="00D42293" w:rsidRDefault="00000000">
            <w:r>
              <w:rPr>
                <w:rFonts w:ascii="Times New Roman" w:hAnsi="Times New Roman"/>
                <w:sz w:val="20"/>
              </w:rPr>
              <w:t>Transforms black-box graph embeddings into auditor-ready natural language dossiers.</w:t>
            </w:r>
          </w:p>
        </w:tc>
      </w:tr>
      <w:tr w:rsidR="00D42293" w14:paraId="6A414DB8" w14:textId="77777777">
        <w:trPr>
          <w:jc w:val="center"/>
        </w:trPr>
        <w:tc>
          <w:tcPr>
            <w:tcW w:w="2016" w:type="dxa"/>
          </w:tcPr>
          <w:p w14:paraId="4F71C2D6" w14:textId="77777777" w:rsidR="00D42293" w:rsidRDefault="00000000">
            <w:r>
              <w:rPr>
                <w:rFonts w:ascii="Times New Roman" w:hAnsi="Times New Roman"/>
                <w:sz w:val="20"/>
              </w:rPr>
              <w:t>Enterprise Web SaaS</w:t>
            </w:r>
          </w:p>
        </w:tc>
        <w:tc>
          <w:tcPr>
            <w:tcW w:w="2592" w:type="dxa"/>
          </w:tcPr>
          <w:p w14:paraId="5A4C70BF" w14:textId="77777777" w:rsidR="00D42293" w:rsidRDefault="00000000">
            <w:r>
              <w:rPr>
                <w:rFonts w:ascii="Times New Roman" w:hAnsi="Times New Roman"/>
                <w:sz w:val="20"/>
              </w:rPr>
              <w:t>Next.js 15 App Router, Firestore NoSQL, Dual Alert Engine</w:t>
            </w:r>
          </w:p>
        </w:tc>
        <w:tc>
          <w:tcPr>
            <w:tcW w:w="2592" w:type="dxa"/>
          </w:tcPr>
          <w:p w14:paraId="418E2388" w14:textId="77777777" w:rsidR="00D42293" w:rsidRDefault="00000000">
            <w:r>
              <w:rPr>
                <w:rFonts w:ascii="Times New Roman" w:hAnsi="Times New Roman"/>
                <w:sz w:val="20"/>
              </w:rPr>
              <w:t>Full-stack production platform tracking alerts, GIS maps, and registry serials</w:t>
            </w:r>
          </w:p>
        </w:tc>
        <w:tc>
          <w:tcPr>
            <w:tcW w:w="2592" w:type="dxa"/>
          </w:tcPr>
          <w:p w14:paraId="04F5F193" w14:textId="77777777" w:rsidR="00D42293" w:rsidRDefault="00000000">
            <w:r>
              <w:rPr>
                <w:rFonts w:ascii="Times New Roman" w:hAnsi="Times New Roman"/>
                <w:sz w:val="20"/>
              </w:rPr>
              <w:t>Slashes MRV costs by 70%, accelerates credit issuance, safeguards coastal sinks.</w:t>
            </w:r>
          </w:p>
        </w:tc>
      </w:tr>
    </w:tbl>
    <w:p w14:paraId="664F8A52" w14:textId="77777777" w:rsidR="00D42293" w:rsidRDefault="00D42293">
      <w:pPr>
        <w:spacing w:before="40" w:after="120"/>
      </w:pPr>
    </w:p>
    <w:p w14:paraId="147A5D02" w14:textId="5D6FB44B" w:rsidR="00D42293" w:rsidRDefault="003D6B7D">
      <w:pPr>
        <w:spacing w:after="120" w:line="360" w:lineRule="exact"/>
        <w:jc w:val="both"/>
      </w:pPr>
      <w:r w:rsidRPr="003D6B7D">
        <w:rPr>
          <w:rFonts w:ascii="Times New Roman" w:hAnsi="Times New Roman"/>
          <w:sz w:val="24"/>
        </w:rPr>
        <w:t xml:space="preserve">In summary, this research proves that Spatio-Temporal Graph Neural Networks, coupled with transfer-learned neural imputation and multi-source satellite telemetry, provide a vastly superior, cost-effective, and auditable alternative to conventional manual MRV. The MCIP </w:t>
      </w:r>
      <w:r w:rsidRPr="003D6B7D">
        <w:rPr>
          <w:rFonts w:ascii="Times New Roman" w:hAnsi="Times New Roman"/>
          <w:sz w:val="24"/>
        </w:rPr>
        <w:lastRenderedPageBreak/>
        <w:t>establishes a reproducible scientific blueprint that transitions from an ambitious idea into research and, ultimately, into a production-grade software product ready to be deployed across global coastlines.</w:t>
      </w:r>
    </w:p>
    <w:p w14:paraId="354EDAD0" w14:textId="77777777" w:rsidR="00D42293" w:rsidRDefault="00000000">
      <w:pPr>
        <w:keepNext/>
        <w:spacing w:before="280" w:after="120"/>
      </w:pPr>
      <w:r>
        <w:rPr>
          <w:rFonts w:ascii="Times New Roman" w:hAnsi="Times New Roman"/>
          <w:b/>
          <w:color w:val="005078"/>
          <w:sz w:val="26"/>
        </w:rPr>
        <w:t>7.2 Managerial &amp; Industry Implications</w:t>
      </w:r>
    </w:p>
    <w:p w14:paraId="3A217BFB" w14:textId="712AFF80" w:rsidR="003D6B7D" w:rsidRPr="003D6B7D" w:rsidRDefault="003D6B7D" w:rsidP="003D6B7D">
      <w:pPr>
        <w:spacing w:after="120" w:line="360" w:lineRule="exact"/>
        <w:jc w:val="both"/>
        <w:rPr>
          <w:rFonts w:ascii="Times New Roman" w:hAnsi="Times New Roman"/>
          <w:sz w:val="24"/>
        </w:rPr>
      </w:pPr>
      <w:r w:rsidRPr="003D6B7D">
        <w:rPr>
          <w:rFonts w:ascii="Times New Roman" w:hAnsi="Times New Roman"/>
          <w:sz w:val="24"/>
        </w:rPr>
        <w:t>The managerial implications of this work for the carbon market industry, environmental ministries, and project developers are profound. For national regulators such as the UAE Ministry of Climate Change and Environment (MOCCAE) and Environment Agency Abu Dhabi (EAD), the MCIP provides an executive-level command dashboard that transforms sovereign climate reporting under the Paris Agreement from retrospective, uncertain estimates into continuous, satellite-verified reality. Regulatory verifiers can audit national blue carbon stocks at sub-10-meter resolution without incurring exorbitant third-party consulting fees.</w:t>
      </w:r>
    </w:p>
    <w:p w14:paraId="319E226D" w14:textId="77777777" w:rsidR="003D6B7D" w:rsidRPr="003D6B7D" w:rsidRDefault="003D6B7D" w:rsidP="003D6B7D">
      <w:pPr>
        <w:spacing w:after="120" w:line="360" w:lineRule="exact"/>
        <w:jc w:val="both"/>
        <w:rPr>
          <w:rFonts w:ascii="Times New Roman" w:hAnsi="Times New Roman"/>
          <w:sz w:val="24"/>
        </w:rPr>
      </w:pPr>
      <w:r w:rsidRPr="003D6B7D">
        <w:rPr>
          <w:rFonts w:ascii="Times New Roman" w:hAnsi="Times New Roman"/>
          <w:sz w:val="24"/>
        </w:rPr>
        <w:t>For commercial afforestation companies and carbon project developers, the MCIP fundamentally alters the project economics. By reducing five-year verification costs from $390,000 USD to under $90,000 USD (Table 6.1) and accelerating credit issuance time lines from 18 months to days, the platform transforms marginal restoration concessions into highly profitable, bankable enterprises. Furthermore, the Dual Alert Engine provides project developers with an indispensable operational risk management tool, enabling rapid mitigation of environmental threats before tree mortality triggers catastrophic carbon reversals.</w:t>
      </w:r>
    </w:p>
    <w:p w14:paraId="37AB1F02" w14:textId="1A9B8C10" w:rsidR="00D42293" w:rsidRDefault="00D42293">
      <w:pPr>
        <w:spacing w:after="120" w:line="360" w:lineRule="exact"/>
        <w:jc w:val="both"/>
      </w:pPr>
    </w:p>
    <w:p w14:paraId="0EC031DE" w14:textId="52F0A13E" w:rsidR="003D6B7D" w:rsidRPr="003D6B7D" w:rsidRDefault="00000000" w:rsidP="003D6B7D">
      <w:pPr>
        <w:keepNext/>
        <w:spacing w:before="280" w:after="120"/>
      </w:pPr>
      <w:r>
        <w:rPr>
          <w:rFonts w:ascii="Times New Roman" w:hAnsi="Times New Roman"/>
          <w:b/>
          <w:color w:val="005078"/>
          <w:sz w:val="26"/>
        </w:rPr>
        <w:t>7.3 Theoretical &amp; Academic Implications</w:t>
      </w:r>
    </w:p>
    <w:p w14:paraId="46B88C69" w14:textId="5C19EB86" w:rsidR="003D6B7D" w:rsidRPr="00CF27A4" w:rsidRDefault="003D6B7D" w:rsidP="003D6B7D">
      <w:pPr>
        <w:spacing w:after="120" w:line="360" w:lineRule="exact"/>
        <w:jc w:val="both"/>
        <w:rPr>
          <w:rFonts w:ascii="Times New Roman" w:hAnsi="Times New Roman"/>
          <w:sz w:val="24"/>
        </w:rPr>
      </w:pPr>
      <w:r w:rsidRPr="00CF27A4">
        <w:rPr>
          <w:rFonts w:ascii="Times New Roman" w:hAnsi="Times New Roman"/>
          <w:sz w:val="24"/>
        </w:rPr>
        <w:t>From a theoretical perspective, this dissertation makes several landmark contributions to computational data science and ecological machine learning. First, it is the first successful demonstration in published scientific literature of applying Spatio-Temporal Graph Neural Networks to coastal blue carbon modeling, proving that non-Euclidean topological representations of tidal currents capture ecological dynamics that Euclidean CNNs and non-relational time-series models inherently miss.</w:t>
      </w:r>
    </w:p>
    <w:p w14:paraId="30EF846B" w14:textId="77777777" w:rsidR="003D6B7D" w:rsidRPr="00CF27A4" w:rsidRDefault="003D6B7D" w:rsidP="003D6B7D">
      <w:pPr>
        <w:spacing w:after="120" w:line="360" w:lineRule="exact"/>
        <w:jc w:val="both"/>
        <w:rPr>
          <w:rFonts w:ascii="Times New Roman" w:hAnsi="Times New Roman"/>
          <w:sz w:val="24"/>
        </w:rPr>
      </w:pPr>
      <w:r w:rsidRPr="00CF27A4">
        <w:rPr>
          <w:rFonts w:ascii="Times New Roman" w:hAnsi="Times New Roman"/>
          <w:sz w:val="24"/>
        </w:rPr>
        <w:t xml:space="preserve">Second, the research validates cross-biome transfer learning for spaceborne LiDAR imputation. Demonstrating that deep neural networks pre-trained on dense equatorial mangrove waveforms (Sundarbans, Bangladesh) can be fine-tuned to impute structural </w:t>
      </w:r>
      <w:r w:rsidRPr="00CF27A4">
        <w:rPr>
          <w:rFonts w:ascii="Times New Roman" w:hAnsi="Times New Roman"/>
          <w:sz w:val="24"/>
        </w:rPr>
        <w:lastRenderedPageBreak/>
        <w:t>parameters in arid dwarf mangroves (UAE) establishes a vital methodological template for remote sensing in data-sparse biomes worldwide.</w:t>
      </w:r>
    </w:p>
    <w:p w14:paraId="6FB7C267" w14:textId="77777777" w:rsidR="003D6B7D" w:rsidRPr="00CF27A4" w:rsidRDefault="003D6B7D" w:rsidP="003D6B7D">
      <w:pPr>
        <w:spacing w:after="120" w:line="360" w:lineRule="exact"/>
        <w:jc w:val="both"/>
        <w:rPr>
          <w:rFonts w:ascii="Times New Roman" w:hAnsi="Times New Roman"/>
          <w:sz w:val="24"/>
        </w:rPr>
      </w:pPr>
      <w:r w:rsidRPr="00CF27A4">
        <w:rPr>
          <w:rFonts w:ascii="Times New Roman" w:hAnsi="Times New Roman"/>
          <w:sz w:val="24"/>
        </w:rPr>
        <w:t>Third, this study advances the frontier of Explainable AI in environmental jurisprudence. By bridging the gap between mathematical SHAP attribution values and natural-language compliance narratives via Large Language Model orchestration, the thesis demonstrates how autonomous AI systems can meet the stringent evidentiary standards of international treaties and carbon registries.</w:t>
      </w:r>
    </w:p>
    <w:p w14:paraId="5EE17799" w14:textId="77A9D8D5" w:rsidR="00D42293" w:rsidRDefault="00000000" w:rsidP="003D6B7D">
      <w:pPr>
        <w:spacing w:after="120" w:line="360" w:lineRule="exact"/>
        <w:jc w:val="both"/>
      </w:pPr>
      <w:r>
        <w:rPr>
          <w:rFonts w:ascii="Times New Roman" w:hAnsi="Times New Roman"/>
          <w:b/>
          <w:color w:val="005078"/>
          <w:sz w:val="26"/>
        </w:rPr>
        <w:t>7.4 Research Limitations</w:t>
      </w:r>
    </w:p>
    <w:p w14:paraId="0AB6209F" w14:textId="77777777" w:rsidR="00D42293" w:rsidRDefault="00000000">
      <w:pPr>
        <w:spacing w:after="120" w:line="360" w:lineRule="exact"/>
        <w:jc w:val="both"/>
      </w:pPr>
      <w:r>
        <w:rPr>
          <w:rFonts w:ascii="Times New Roman" w:hAnsi="Times New Roman"/>
          <w:sz w:val="24"/>
        </w:rPr>
        <w:t>To maintain academic integrity, several scientific and operational limitations must be explicitly acknowledged:</w:t>
      </w:r>
    </w:p>
    <w:p w14:paraId="080E26CB" w14:textId="27FCFC9A" w:rsidR="00D42293" w:rsidRDefault="00000000">
      <w:pPr>
        <w:pStyle w:val="ListBullet"/>
        <w:spacing w:before="40" w:after="60" w:line="360" w:lineRule="exact"/>
        <w:ind w:left="576"/>
      </w:pPr>
      <w:r>
        <w:rPr>
          <w:rFonts w:ascii="Times New Roman" w:hAnsi="Times New Roman"/>
          <w:b/>
          <w:sz w:val="24"/>
        </w:rPr>
        <w:t xml:space="preserve">1. Optical and Radar Saturation </w:t>
      </w:r>
      <w:r w:rsidR="0060232A">
        <w:rPr>
          <w:rFonts w:ascii="Times New Roman" w:hAnsi="Times New Roman"/>
          <w:b/>
          <w:sz w:val="24"/>
        </w:rPr>
        <w:t>with</w:t>
      </w:r>
      <w:r>
        <w:rPr>
          <w:rFonts w:ascii="Times New Roman" w:hAnsi="Times New Roman"/>
          <w:b/>
          <w:sz w:val="24"/>
        </w:rPr>
        <w:t xml:space="preserve"> Dense Canopies: </w:t>
      </w:r>
      <w:r>
        <w:rPr>
          <w:rFonts w:ascii="Times New Roman" w:hAnsi="Times New Roman"/>
          <w:sz w:val="24"/>
        </w:rPr>
        <w:t xml:space="preserve">Sentinel-1 C-band SAR backscatter experiences volumetric saturation at biomass densities exceeding 120–150 Mg/ha. While arid UAE mangroves rarely approach this ceiling (average biomass ~60–85 Mg/ha), deploying MCIP to hyper-dense equatorial biomes </w:t>
      </w:r>
      <w:r w:rsidR="0060232A">
        <w:rPr>
          <w:rFonts w:ascii="Times New Roman" w:hAnsi="Times New Roman"/>
          <w:sz w:val="24"/>
        </w:rPr>
        <w:t>will</w:t>
      </w:r>
      <w:r>
        <w:rPr>
          <w:rFonts w:ascii="Times New Roman" w:hAnsi="Times New Roman"/>
          <w:sz w:val="24"/>
        </w:rPr>
        <w:t xml:space="preserve"> require integrating longer-wavelength L-band SAR (such as NASA-ISRO NISAR) to avoid saturation.</w:t>
      </w:r>
    </w:p>
    <w:p w14:paraId="21F2E19C" w14:textId="582141DC" w:rsidR="00D42293" w:rsidRDefault="00000000">
      <w:pPr>
        <w:pStyle w:val="ListBullet"/>
        <w:spacing w:before="40" w:after="60" w:line="360" w:lineRule="exact"/>
        <w:ind w:left="576"/>
      </w:pPr>
      <w:r>
        <w:rPr>
          <w:rFonts w:ascii="Times New Roman" w:hAnsi="Times New Roman"/>
          <w:b/>
          <w:sz w:val="24"/>
        </w:rPr>
        <w:t xml:space="preserve">2. Static Hydrological Graph Approximations: </w:t>
      </w:r>
      <w:r>
        <w:rPr>
          <w:rFonts w:ascii="Times New Roman" w:hAnsi="Times New Roman"/>
          <w:sz w:val="24"/>
        </w:rPr>
        <w:t xml:space="preserve">The current topological graph employs static directed edge weights based on dominant net monthly sediment transport vectors. While effective for monthly sequestration forecasting, this abstraction does not capture intra-monthly tidal reversals, wave-driven coastal resuspension, </w:t>
      </w:r>
      <w:r w:rsidR="0060232A">
        <w:rPr>
          <w:rFonts w:ascii="Times New Roman" w:hAnsi="Times New Roman"/>
          <w:sz w:val="24"/>
        </w:rPr>
        <w:t>and</w:t>
      </w:r>
      <w:r>
        <w:rPr>
          <w:rFonts w:ascii="Times New Roman" w:hAnsi="Times New Roman"/>
          <w:sz w:val="24"/>
        </w:rPr>
        <w:t xml:space="preserve"> extreme storm surge surges.</w:t>
      </w:r>
    </w:p>
    <w:p w14:paraId="7DC5E96C" w14:textId="31F7BC7A" w:rsidR="00D42293" w:rsidRDefault="00000000">
      <w:pPr>
        <w:pStyle w:val="ListBullet"/>
        <w:spacing w:before="40" w:after="60" w:line="360" w:lineRule="exact"/>
        <w:ind w:left="576"/>
      </w:pPr>
      <w:r>
        <w:rPr>
          <w:rFonts w:ascii="Times New Roman" w:hAnsi="Times New Roman"/>
          <w:b/>
          <w:sz w:val="24"/>
        </w:rPr>
        <w:t xml:space="preserve">3. Absence of Local In-Situ Drone LiDAR Calibration: </w:t>
      </w:r>
      <w:r>
        <w:rPr>
          <w:rFonts w:ascii="Times New Roman" w:hAnsi="Times New Roman"/>
          <w:sz w:val="24"/>
        </w:rPr>
        <w:t xml:space="preserve">Although transfer learning achieved a validation MSE of 9.81 for canopy height, physical ground-truth validation was constrained to sparse GEDI footprints. Calibrating the neural imputation engine </w:t>
      </w:r>
      <w:r w:rsidR="0060232A">
        <w:rPr>
          <w:rFonts w:ascii="Times New Roman" w:hAnsi="Times New Roman"/>
          <w:sz w:val="24"/>
        </w:rPr>
        <w:t>with</w:t>
      </w:r>
      <w:r>
        <w:rPr>
          <w:rFonts w:ascii="Times New Roman" w:hAnsi="Times New Roman"/>
          <w:sz w:val="24"/>
        </w:rPr>
        <w:t xml:space="preserve"> high-density localized airborne drone LiDAR surveys would further sharpen localized tree-level height precision.</w:t>
      </w:r>
    </w:p>
    <w:p w14:paraId="2C98C694" w14:textId="77777777" w:rsidR="00D42293" w:rsidRDefault="00000000">
      <w:pPr>
        <w:keepNext/>
        <w:spacing w:before="280" w:after="120"/>
      </w:pPr>
      <w:r>
        <w:rPr>
          <w:rFonts w:ascii="Times New Roman" w:hAnsi="Times New Roman"/>
          <w:b/>
          <w:color w:val="005078"/>
          <w:sz w:val="26"/>
        </w:rPr>
        <w:t>7.5 Future Work &amp; Global Scaling Horizons</w:t>
      </w:r>
    </w:p>
    <w:p w14:paraId="7C06D66E" w14:textId="77777777" w:rsidR="00D42293" w:rsidRDefault="00000000">
      <w:pPr>
        <w:spacing w:after="120" w:line="360" w:lineRule="exact"/>
        <w:jc w:val="both"/>
      </w:pPr>
      <w:r>
        <w:rPr>
          <w:rFonts w:ascii="Times New Roman" w:hAnsi="Times New Roman"/>
          <w:sz w:val="24"/>
        </w:rPr>
        <w:t>Building upon the robust foundation established in this dissertation, four high-priority avenues for future research and engineering development are identified:</w:t>
      </w:r>
    </w:p>
    <w:p w14:paraId="2D5D42C8" w14:textId="77777777" w:rsidR="00D42293" w:rsidRDefault="00000000">
      <w:pPr>
        <w:spacing w:before="40" w:after="60" w:line="360" w:lineRule="exact"/>
        <w:ind w:left="576"/>
      </w:pPr>
      <w:r>
        <w:rPr>
          <w:rFonts w:ascii="Times New Roman" w:hAnsi="Times New Roman"/>
          <w:b/>
          <w:sz w:val="24"/>
        </w:rPr>
        <w:t xml:space="preserve">1. Integration of Spaceborne Hyperspectral Imagery:  </w:t>
      </w:r>
      <w:r>
        <w:rPr>
          <w:rFonts w:ascii="Times New Roman" w:hAnsi="Times New Roman"/>
          <w:sz w:val="24"/>
        </w:rPr>
        <w:t xml:space="preserve">Upcoming hyperspectral satellite missions (such as EnMAP and PRISMA) provide hundreds of contiguous narrow spectral bands. Integrating hyperspectral telemetry into Stage 1 will enable fine-grained mangrove species discrimination (e.g. distinguishing Avicennia marina </w:t>
      </w:r>
      <w:r>
        <w:rPr>
          <w:rFonts w:ascii="Times New Roman" w:hAnsi="Times New Roman"/>
          <w:sz w:val="24"/>
        </w:rPr>
        <w:lastRenderedPageBreak/>
        <w:t>from Rhizophora mucronata) and direct detection of biochemical foliar nitrogen and salinity stress.</w:t>
      </w:r>
    </w:p>
    <w:p w14:paraId="6DD7C034" w14:textId="77777777" w:rsidR="00D42293" w:rsidRDefault="00000000">
      <w:pPr>
        <w:spacing w:before="40" w:after="60" w:line="360" w:lineRule="exact"/>
        <w:ind w:left="576"/>
      </w:pPr>
      <w:r>
        <w:rPr>
          <w:rFonts w:ascii="Times New Roman" w:hAnsi="Times New Roman"/>
          <w:b/>
          <w:sz w:val="24"/>
        </w:rPr>
        <w:t xml:space="preserve">2. Dynamic Hydrodynamic Graph Networks (DH-GNN):  </w:t>
      </w:r>
      <w:r>
        <w:rPr>
          <w:rFonts w:ascii="Times New Roman" w:hAnsi="Times New Roman"/>
          <w:sz w:val="24"/>
        </w:rPr>
        <w:t>Future iterations will replace static graph edges with dynamic graph neural networks that update adjacency matrices in real time based on numerical hydrodynamic oceanographic models (such as Delft3D or FVCOM) driven by live tide gauge and meteorological telemetry.</w:t>
      </w:r>
    </w:p>
    <w:p w14:paraId="08F58B06" w14:textId="77777777" w:rsidR="00D42293" w:rsidRDefault="00000000">
      <w:pPr>
        <w:spacing w:before="40" w:after="60" w:line="360" w:lineRule="exact"/>
        <w:ind w:left="576"/>
      </w:pPr>
      <w:r>
        <w:rPr>
          <w:rFonts w:ascii="Times New Roman" w:hAnsi="Times New Roman"/>
          <w:b/>
          <w:sz w:val="24"/>
        </w:rPr>
        <w:t xml:space="preserve">3. Drone LiDAR and Edge AI Calibration:  </w:t>
      </w:r>
      <w:r>
        <w:rPr>
          <w:rFonts w:ascii="Times New Roman" w:hAnsi="Times New Roman"/>
          <w:sz w:val="24"/>
        </w:rPr>
        <w:t>Deploying autonomous unmanned aerial vehicles (UAVs) equipped with lightweight LiDAR pods to conduct periodic, high-resolution validation flights over designated benchmark patches, feeding localized millimeter-level canopy point clouds directly into the neural imputation feedback loop.</w:t>
      </w:r>
    </w:p>
    <w:p w14:paraId="4EE309AB" w14:textId="77777777" w:rsidR="00D42293" w:rsidRDefault="00000000">
      <w:pPr>
        <w:spacing w:before="40" w:after="60" w:line="360" w:lineRule="exact"/>
        <w:ind w:left="576"/>
      </w:pPr>
      <w:r>
        <w:rPr>
          <w:rFonts w:ascii="Times New Roman" w:hAnsi="Times New Roman"/>
          <w:b/>
          <w:sz w:val="24"/>
        </w:rPr>
        <w:t xml:space="preserve">4. Global Multi-Biome Scaling:  </w:t>
      </w:r>
      <w:r>
        <w:rPr>
          <w:rFonts w:ascii="Times New Roman" w:hAnsi="Times New Roman"/>
          <w:sz w:val="24"/>
        </w:rPr>
        <w:t>Expanding the Coastal Sentinel SaaS platform to other critical blue carbon hotspots across Southeast Asia, East Africa, and Latin America, establishing a unified, transparent global digital MRV standard that protects the planet's vital marine ecosystems for generations to come.</w:t>
      </w:r>
    </w:p>
    <w:p w14:paraId="76F6D091" w14:textId="77777777" w:rsidR="00D42293" w:rsidRDefault="00000000">
      <w:r>
        <w:br w:type="page"/>
      </w:r>
    </w:p>
    <w:p w14:paraId="75AC36A5" w14:textId="77777777" w:rsidR="00D42293" w:rsidRDefault="00000000">
      <w:pPr>
        <w:keepNext/>
        <w:spacing w:before="360" w:after="240"/>
      </w:pPr>
      <w:r>
        <w:rPr>
          <w:rFonts w:ascii="Times New Roman" w:hAnsi="Times New Roman"/>
          <w:b/>
          <w:color w:val="003366"/>
          <w:sz w:val="32"/>
        </w:rPr>
        <w:lastRenderedPageBreak/>
        <w:t>References</w:t>
      </w:r>
    </w:p>
    <w:p w14:paraId="6AB94E67" w14:textId="77777777" w:rsidR="00D42293" w:rsidRDefault="00000000">
      <w:pPr>
        <w:spacing w:after="120" w:line="360" w:lineRule="exact"/>
        <w:jc w:val="both"/>
      </w:pPr>
      <w:r>
        <w:rPr>
          <w:rFonts w:ascii="Times New Roman" w:hAnsi="Times New Roman"/>
          <w:sz w:val="24"/>
        </w:rPr>
        <w:t>The following bibliography consolidates all peer-reviewed academic journal articles, premier conference proceedings, scientific books, governmental reports, and international carbon standards cited throughout this dissertation, formatted alphabetically in strict accordance with the Harvard Referencing standard:</w:t>
      </w:r>
    </w:p>
    <w:p w14:paraId="6201A600" w14:textId="77777777" w:rsidR="00D42293" w:rsidRDefault="00000000">
      <w:pPr>
        <w:spacing w:before="40" w:after="120" w:line="320" w:lineRule="exact"/>
        <w:ind w:left="720" w:hanging="720"/>
      </w:pPr>
      <w:r>
        <w:rPr>
          <w:rFonts w:ascii="Times New Roman" w:hAnsi="Times New Roman"/>
          <w:sz w:val="20"/>
        </w:rPr>
        <w:t>ADGM (2022) Regulatory Framework for Environmental Instruments. Abu Dhabi: Abu Dhabi Global Market Financial Services Regulatory Authority.</w:t>
      </w:r>
    </w:p>
    <w:p w14:paraId="744A2D02" w14:textId="77777777" w:rsidR="00D42293" w:rsidRDefault="00000000">
      <w:pPr>
        <w:spacing w:before="40" w:after="120" w:line="320" w:lineRule="exact"/>
        <w:ind w:left="720" w:hanging="720"/>
      </w:pPr>
      <w:r>
        <w:rPr>
          <w:rFonts w:ascii="Times New Roman" w:hAnsi="Times New Roman"/>
          <w:sz w:val="20"/>
        </w:rPr>
        <w:t>Alongi, D.M. (2014) 'Carbon cycling and storage in mangrove forests', Annual Review of Marine Science, 6, pp. 195–219. Available at: https://doi.org/10.1146/annurev-marine-010213-135020.</w:t>
      </w:r>
    </w:p>
    <w:p w14:paraId="5CAD8BDA" w14:textId="77777777" w:rsidR="00D42293" w:rsidRDefault="00000000">
      <w:pPr>
        <w:spacing w:before="40" w:after="120" w:line="320" w:lineRule="exact"/>
        <w:ind w:left="720" w:hanging="720"/>
      </w:pPr>
      <w:r>
        <w:rPr>
          <w:rFonts w:ascii="Times New Roman" w:hAnsi="Times New Roman"/>
          <w:sz w:val="20"/>
        </w:rPr>
        <w:t>Alongi, D.M. (2020) 'Global significance of mangrove blue carbon in climate change mitigation', Science, 370(6521), pp. 1152–1153.</w:t>
      </w:r>
    </w:p>
    <w:p w14:paraId="08DB1A38" w14:textId="77777777" w:rsidR="00D42293" w:rsidRDefault="00000000">
      <w:pPr>
        <w:spacing w:before="40" w:after="120" w:line="320" w:lineRule="exact"/>
        <w:ind w:left="720" w:hanging="720"/>
      </w:pPr>
      <w:r>
        <w:rPr>
          <w:rFonts w:ascii="Times New Roman" w:hAnsi="Times New Roman"/>
          <w:sz w:val="20"/>
        </w:rPr>
        <w:t>Aslan, A., Rahman, A.F., Warren, M.W. and Robeson, S.M. (2016) 'Mapping spatial distribution and biomass of coastal wetland vegetation in Indonesian Papua by combining active and passive remotely sensed data', Remote Sensing of Environment, 186, pp. 65–81. Available at: https://doi.org/10.1016/j.rse.2016.08.019.</w:t>
      </w:r>
    </w:p>
    <w:p w14:paraId="588978A9" w14:textId="77777777" w:rsidR="00D42293" w:rsidRDefault="00000000">
      <w:pPr>
        <w:spacing w:before="40" w:after="120" w:line="320" w:lineRule="exact"/>
        <w:ind w:left="720" w:hanging="720"/>
      </w:pPr>
      <w:r>
        <w:rPr>
          <w:rFonts w:ascii="Times New Roman" w:hAnsi="Times New Roman"/>
          <w:sz w:val="20"/>
        </w:rPr>
        <w:t>Atwood, T.B., Connolly, R.M., Almahasheer, H., Carnell, P.E., Duarte, C.M., Lewis, C.J.E., Irigoien, X., Kelleway, J.J., Lavery, P.S., Macreadie, P.I. and Serrano, O. (2017) 'Global patterns in mangrove soil carbon stocks and losses', Nature Climate Change, 7(7), pp. 523–528. Available at: https://doi.org/10.1038/nclimate3326.</w:t>
      </w:r>
    </w:p>
    <w:p w14:paraId="2CE6CC94" w14:textId="77777777" w:rsidR="00D42293" w:rsidRDefault="00000000">
      <w:pPr>
        <w:spacing w:before="40" w:after="120" w:line="320" w:lineRule="exact"/>
        <w:ind w:left="720" w:hanging="720"/>
      </w:pPr>
      <w:r>
        <w:rPr>
          <w:rFonts w:ascii="Times New Roman" w:hAnsi="Times New Roman"/>
          <w:sz w:val="20"/>
        </w:rPr>
        <w:t>Baryannis, G., Validi, S., Dani, S. and Antoniou, G. (2019) 'Supply chain risk management and artificial intelligence: state of the art and future research directions', International Journal of Production Research, 57(7), pp. 2179–2202. Available at: https://doi.org/10.1080/00207543.2018.1530476.</w:t>
      </w:r>
    </w:p>
    <w:p w14:paraId="2D4313CC" w14:textId="77777777" w:rsidR="00D42293" w:rsidRDefault="00000000">
      <w:pPr>
        <w:spacing w:before="40" w:after="120" w:line="320" w:lineRule="exact"/>
        <w:ind w:left="720" w:hanging="720"/>
      </w:pPr>
      <w:r>
        <w:rPr>
          <w:rFonts w:ascii="Times New Roman" w:hAnsi="Times New Roman"/>
          <w:sz w:val="20"/>
        </w:rPr>
        <w:t>Bloomberg (2023) 'Abu Dhabi creates world's first regulated voluntary carbon market', Bloomberg Green, 16 November. Available at: https://www.bloomberg.com/news/articles/2023-11-16/abu-dhabi-creates-world-s-first-regulated-voluntary-carbon-market (Accessed: 12 August 2026).</w:t>
      </w:r>
    </w:p>
    <w:p w14:paraId="015B3E46" w14:textId="77777777" w:rsidR="00D42293" w:rsidRDefault="00000000">
      <w:pPr>
        <w:spacing w:before="40" w:after="120" w:line="320" w:lineRule="exact"/>
        <w:ind w:left="720" w:hanging="720"/>
      </w:pPr>
      <w:r>
        <w:rPr>
          <w:rFonts w:ascii="Times New Roman" w:hAnsi="Times New Roman"/>
          <w:sz w:val="20"/>
        </w:rPr>
        <w:t>Cai, T., Lozenski, L., Wen, H., Babbar-Sebens, M. and Zhang, C. (2023) 'Large-scale above-ground biomass estimation combining GEDI LiDAR and optical satellite data', International Journal of Applied Earth Observation and Geoinformation, 118, p. 103265. Available at: https://doi.org/10.1016/j.jag.2023.103265.</w:t>
      </w:r>
    </w:p>
    <w:p w14:paraId="2470A9A5" w14:textId="77777777" w:rsidR="00D42293" w:rsidRDefault="00000000">
      <w:pPr>
        <w:spacing w:before="40" w:after="120" w:line="320" w:lineRule="exact"/>
        <w:ind w:left="720" w:hanging="720"/>
      </w:pPr>
      <w:r>
        <w:rPr>
          <w:rFonts w:ascii="Times New Roman" w:hAnsi="Times New Roman"/>
          <w:sz w:val="20"/>
        </w:rPr>
        <w:t>Chave, J., Réjou-Méchain, M., Búrquez, A., Chidumayo, E., Colgan, M.S., Delitti, W.B., Duque, A., Eid, T., Fearnside, P.M., Goodman, R.C. and Henry, M. (2014) 'Improved allometric models to estimate the aboveground biomass of tropical trees', Global Change Biology, 20(10), pp. 3177–3190.</w:t>
      </w:r>
    </w:p>
    <w:p w14:paraId="1128EAD9" w14:textId="77777777" w:rsidR="00D42293" w:rsidRDefault="00000000">
      <w:pPr>
        <w:spacing w:before="40" w:after="120" w:line="320" w:lineRule="exact"/>
        <w:ind w:left="720" w:hanging="720"/>
      </w:pPr>
      <w:r>
        <w:rPr>
          <w:rFonts w:ascii="Times New Roman" w:hAnsi="Times New Roman"/>
          <w:sz w:val="20"/>
        </w:rPr>
        <w:t>Donato, D.C., Kauffman, J.B., Murdiyarso, D., Kurnianto, S., Stidham, M. and Kanninen, M. (2011) 'Mangroves among the most carbon-rich forests in the tropics', Nature Geoscience, 4(5), pp. 293–297. Available at: https://doi.org/10.1038/ngeo1123.</w:t>
      </w:r>
    </w:p>
    <w:p w14:paraId="69C645E2" w14:textId="77777777" w:rsidR="00D42293" w:rsidRDefault="00000000">
      <w:pPr>
        <w:spacing w:before="40" w:after="120" w:line="320" w:lineRule="exact"/>
        <w:ind w:left="720" w:hanging="720"/>
      </w:pPr>
      <w:r>
        <w:rPr>
          <w:rFonts w:ascii="Times New Roman" w:hAnsi="Times New Roman"/>
          <w:sz w:val="20"/>
        </w:rPr>
        <w:lastRenderedPageBreak/>
        <w:t>Dubayah, R., Blair, J.B., Goetz, S., Fatoyinbo, L., Hansen, M., Healey, S., Hofton, M., Hurtt, G., Kellner, J., Luthcke, S. and Armston, J. (2020) 'The Global Ecosystem Dynamics Investigation: High-resolution laser ranging of the Earth’s forests and topography', Science of Remote Sensing, 1, p. 100002. Available at: https://doi.org/10.1016/j.srs.2020.100002.</w:t>
      </w:r>
    </w:p>
    <w:p w14:paraId="7673D663" w14:textId="77777777" w:rsidR="00D42293" w:rsidRDefault="00000000">
      <w:pPr>
        <w:spacing w:before="40" w:after="120" w:line="320" w:lineRule="exact"/>
        <w:ind w:left="720" w:hanging="720"/>
      </w:pPr>
      <w:r>
        <w:rPr>
          <w:rFonts w:ascii="Times New Roman" w:hAnsi="Times New Roman"/>
          <w:sz w:val="20"/>
        </w:rPr>
        <w:t>Duncanson, L., Kellner, J.R., Armston, J., Dubayah, R., Minor, D.M., Hancock, S., Healey, S.P., Patterson, P.L., Saarela, S., Marselis, S. and Silva, C.E. (2022) 'Aboveground biomass density models for NASA’s Global Ecosystem Dynamics Investigation (GEDI) lidar mission', Remote Sensing of Environment, 270, p. 112845. Available at: https://doi.org/10.1016/j.rse.2021.112845.</w:t>
      </w:r>
    </w:p>
    <w:p w14:paraId="54F4900C" w14:textId="4737304D" w:rsidR="00D42293" w:rsidRDefault="00000000">
      <w:pPr>
        <w:spacing w:before="40" w:after="120" w:line="320" w:lineRule="exact"/>
        <w:ind w:left="720" w:hanging="720"/>
        <w:rPr>
          <w:rFonts w:ascii="Times New Roman" w:hAnsi="Times New Roman"/>
          <w:sz w:val="20"/>
        </w:rPr>
      </w:pPr>
      <w:r>
        <w:rPr>
          <w:rFonts w:ascii="Times New Roman" w:hAnsi="Times New Roman"/>
          <w:sz w:val="20"/>
        </w:rPr>
        <w:t xml:space="preserve">Fatoyinbo, T.E., Simard, M., Washington-Allen, R.A. and Shugart, H.H. (2008) 'Landscape-scale extent, height, biomass, and carbon estimation of Mozambique’s mangrove forests with InSAR and LiDAR', Remote Sensing of Environment, 112(5), pp. 2245–2259. Available at: </w:t>
      </w:r>
      <w:r w:rsidR="00D42C81" w:rsidRPr="00976F57">
        <w:rPr>
          <w:rFonts w:ascii="Times New Roman" w:hAnsi="Times New Roman"/>
          <w:sz w:val="20"/>
        </w:rPr>
        <w:t>https://doi.org/10.1016/j.rse.2008.01.002</w:t>
      </w:r>
      <w:r>
        <w:rPr>
          <w:rFonts w:ascii="Times New Roman" w:hAnsi="Times New Roman"/>
          <w:sz w:val="20"/>
        </w:rPr>
        <w:t>.</w:t>
      </w:r>
    </w:p>
    <w:p w14:paraId="40508D6A" w14:textId="2B7834AE" w:rsidR="00D42C81" w:rsidRDefault="00D42C81" w:rsidP="00D42C81">
      <w:pPr>
        <w:spacing w:before="40" w:after="120" w:line="320" w:lineRule="exact"/>
        <w:ind w:left="720" w:hanging="720"/>
      </w:pPr>
      <w:r>
        <w:rPr>
          <w:rFonts w:ascii="Times New Roman" w:hAnsi="Times New Roman"/>
          <w:sz w:val="20"/>
        </w:rPr>
        <w:t>Fayad, I., Baghdadi, N., Bailly, J.S., Barbier, N., Gond, V.,</w:t>
      </w:r>
      <w:r w:rsidR="0019356A">
        <w:rPr>
          <w:rFonts w:ascii="Times New Roman" w:hAnsi="Times New Roman"/>
          <w:sz w:val="20"/>
        </w:rPr>
        <w:tab/>
      </w:r>
      <w:r w:rsidR="0019356A">
        <w:rPr>
          <w:rFonts w:ascii="Times New Roman" w:hAnsi="Times New Roman"/>
          <w:sz w:val="20"/>
        </w:rPr>
        <w:tab/>
      </w:r>
      <w:r>
        <w:rPr>
          <w:rFonts w:ascii="Times New Roman" w:hAnsi="Times New Roman"/>
          <w:sz w:val="20"/>
        </w:rPr>
        <w:t xml:space="preserve"> Hajj, M.E., Fabre, F. and Bourgine, B. (2021) 'Aboveground biomass mapping in French Guiana by combining remote sensing, forest inventories and environmental data', International Journal of Applied Earth Observation and Geoinformation, 69, pp. 49–58. Available at: https://doi.org/10.1016/j.jag.2021.102324.</w:t>
      </w:r>
    </w:p>
    <w:p w14:paraId="6D4DF0D9" w14:textId="77777777" w:rsidR="00D42C81" w:rsidRDefault="00D42C81" w:rsidP="00D42C81">
      <w:pPr>
        <w:spacing w:before="40" w:after="120" w:line="320" w:lineRule="exact"/>
        <w:ind w:left="720" w:hanging="720"/>
      </w:pPr>
      <w:r>
        <w:rPr>
          <w:rFonts w:ascii="Times New Roman" w:hAnsi="Times New Roman"/>
          <w:sz w:val="20"/>
        </w:rPr>
        <w:t>Friess, D.A., Krauss, K.W., Taillardat, P., Adame, M.F., Yando, E.S., Sasmito, S.D. and Silliman, B.R. (2020) 'Mangrove blue carbon: Conservation and restoration for climate mitigation', Nature Reviews Earth &amp; Environment, 1(12), pp. 680–692.</w:t>
      </w:r>
    </w:p>
    <w:p w14:paraId="621DB0C3" w14:textId="77777777" w:rsidR="00D42C81" w:rsidRDefault="00D42C81" w:rsidP="00D42C81">
      <w:pPr>
        <w:spacing w:before="40" w:after="120" w:line="320" w:lineRule="exact"/>
        <w:ind w:left="720" w:hanging="720"/>
      </w:pPr>
      <w:r>
        <w:rPr>
          <w:rFonts w:ascii="Times New Roman" w:hAnsi="Times New Roman"/>
          <w:sz w:val="20"/>
        </w:rPr>
        <w:t>Hamilton, S.E. and Friess, D.A. (2018) 'Global carbon stocks and potential emissions due to mangrove deforestation from 2000 to 2012', Nature Climate Change, 8(3), pp. 240–244. Available at: https://doi.org/10.1038/s41558-018-0090-4.</w:t>
      </w:r>
    </w:p>
    <w:p w14:paraId="28131377" w14:textId="77777777" w:rsidR="00D42C81" w:rsidRDefault="00D42C81" w:rsidP="00D42C81">
      <w:pPr>
        <w:spacing w:before="40" w:after="120" w:line="320" w:lineRule="exact"/>
        <w:ind w:left="720" w:hanging="720"/>
      </w:pPr>
      <w:r>
        <w:rPr>
          <w:rFonts w:ascii="Times New Roman" w:hAnsi="Times New Roman"/>
          <w:sz w:val="20"/>
        </w:rPr>
        <w:t>Hevner, A.R., March, S.T., Park, J. and Ram, S. (2004) 'Design science in information systems research', MIS Quarterly, 28(1), pp. 75–105. Available at: https://doi.org/10.2307/25148625.</w:t>
      </w:r>
    </w:p>
    <w:p w14:paraId="7EDE81E9" w14:textId="77777777" w:rsidR="00D42C81" w:rsidRDefault="00D42C81" w:rsidP="00D42C81">
      <w:pPr>
        <w:spacing w:before="40" w:after="120" w:line="320" w:lineRule="exact"/>
        <w:ind w:left="720" w:hanging="720"/>
      </w:pPr>
      <w:r>
        <w:rPr>
          <w:rFonts w:ascii="Times New Roman" w:hAnsi="Times New Roman"/>
          <w:sz w:val="20"/>
        </w:rPr>
        <w:t>IPCC (2013) 2013 Supplement to the 2006 IPCC Guidelines for National Greenhouse Gas Inventories: Wetlands. Edited by T. Hiraishi et al. Switzerland: Intergovernmental Panel on Climate Change (IPCC). Available at: https://www.ipcc-nggip.iges.or.jp/public/wetlands/.</w:t>
      </w:r>
    </w:p>
    <w:p w14:paraId="392AC500" w14:textId="77777777" w:rsidR="00D42C81" w:rsidRDefault="00D42C81" w:rsidP="00D42C81">
      <w:pPr>
        <w:spacing w:before="40" w:after="120" w:line="320" w:lineRule="exact"/>
        <w:ind w:left="720" w:hanging="720"/>
      </w:pPr>
      <w:r>
        <w:rPr>
          <w:rFonts w:ascii="Times New Roman" w:hAnsi="Times New Roman"/>
          <w:sz w:val="20"/>
        </w:rPr>
        <w:t>IPCC (2021) Climate Change 2021: The Physical Science Basis. Contribution of Working Group I to the Sixth Assessment Report of the Intergovernmental Panel on Climate Change. Edited by V. Masson-Delmotte et al. Cambridge, UK and New York, NY: Cambridge University Press. Available at: https://doi.org/10.1017/9781009157896.</w:t>
      </w:r>
    </w:p>
    <w:p w14:paraId="671C4F62" w14:textId="07660325" w:rsidR="00D42C81" w:rsidRDefault="00D42C81" w:rsidP="00D42C81">
      <w:pPr>
        <w:spacing w:before="40" w:after="120" w:line="320" w:lineRule="exact"/>
        <w:ind w:left="720" w:hanging="720"/>
      </w:pPr>
      <w:r>
        <w:rPr>
          <w:rFonts w:ascii="Times New Roman" w:hAnsi="Times New Roman"/>
          <w:sz w:val="20"/>
        </w:rPr>
        <w:t>IPCC (2023) Climate Change 2023: Synthesis Report. Contribution of Working Groups I, II and III to the Sixth Assessment Report of the Intergovernmental Panel on Climate Change. Edited by Core Writing Team, H. Lee and J. Romero. Geneva, Switzerland: IPCC. Available at: https://doi.org/10.59327/IPCC/AR6-9789291691647.</w:t>
      </w:r>
    </w:p>
    <w:p w14:paraId="54165AEA" w14:textId="77777777" w:rsidR="00D42293" w:rsidRDefault="00000000">
      <w:pPr>
        <w:spacing w:before="40" w:after="120" w:line="320" w:lineRule="exact"/>
        <w:ind w:left="720" w:hanging="720"/>
      </w:pPr>
      <w:r>
        <w:rPr>
          <w:rFonts w:ascii="Times New Roman" w:hAnsi="Times New Roman"/>
          <w:sz w:val="20"/>
        </w:rPr>
        <w:lastRenderedPageBreak/>
        <w:t>Kipf, T.N. and Welling, M. (2017) 'Semi-supervised classification with graph convolutional networks', in Proceedings of the 5th International Conference on Learning Representations (ICLR 2017). Toulon, France. Available at: https://arxiv.org/abs/1609.02907.</w:t>
      </w:r>
    </w:p>
    <w:p w14:paraId="78AAAE74" w14:textId="77777777" w:rsidR="00D42293" w:rsidRDefault="00000000">
      <w:pPr>
        <w:spacing w:before="40" w:after="120" w:line="320" w:lineRule="exact"/>
        <w:ind w:left="720" w:hanging="720"/>
      </w:pPr>
      <w:r>
        <w:rPr>
          <w:rFonts w:ascii="Times New Roman" w:hAnsi="Times New Roman"/>
          <w:sz w:val="20"/>
        </w:rPr>
        <w:t>Komiyama, A., Ong, J.E. and Poungparn, S. (2008) 'Allometry, biomass, and productivity of mangrove forests: A review', Aquatic Botany, 89(2), pp. 128–137. Available at: https://doi.org/10.1016/j.aquabot.2007.12.006.</w:t>
      </w:r>
    </w:p>
    <w:p w14:paraId="46F3841D" w14:textId="77777777" w:rsidR="00D42293" w:rsidRDefault="00000000">
      <w:pPr>
        <w:spacing w:before="40" w:after="120" w:line="320" w:lineRule="exact"/>
        <w:ind w:left="720" w:hanging="720"/>
      </w:pPr>
      <w:r>
        <w:rPr>
          <w:rFonts w:ascii="Times New Roman" w:hAnsi="Times New Roman"/>
          <w:sz w:val="20"/>
        </w:rPr>
        <w:t>Kussul, N., Lavreniuk, M., Skakun, S. and Shelestov, A. (2017) 'Deep learning classification of land cover and crop types using remote sensing data', IEEE Geoscience and Remote Sensing Letters, 14(5), pp. 778–782. Available at: https://doi.org/10.1109/LGRS.2017.2668454.</w:t>
      </w:r>
    </w:p>
    <w:p w14:paraId="07201CA3" w14:textId="77777777" w:rsidR="00D42293" w:rsidRDefault="00000000">
      <w:pPr>
        <w:spacing w:before="40" w:after="120" w:line="320" w:lineRule="exact"/>
        <w:ind w:left="720" w:hanging="720"/>
      </w:pPr>
      <w:r>
        <w:rPr>
          <w:rFonts w:ascii="Times New Roman" w:hAnsi="Times New Roman"/>
          <w:sz w:val="20"/>
        </w:rPr>
        <w:t>Lang, N., Jetz, W., Schindler, K. and Wegner, J.D. (2023) 'A high-resolution canopy height model of the Earth', Nature Ecology and Evolution, 7, pp. 1778–1789. Available at: https://doi.org/10.1038/s41559-023-02206-6.</w:t>
      </w:r>
    </w:p>
    <w:p w14:paraId="75F7535B" w14:textId="77777777" w:rsidR="00D42293" w:rsidRDefault="00000000">
      <w:pPr>
        <w:spacing w:before="40" w:after="120" w:line="320" w:lineRule="exact"/>
        <w:ind w:left="720" w:hanging="720"/>
      </w:pPr>
      <w:r>
        <w:rPr>
          <w:rFonts w:ascii="Times New Roman" w:hAnsi="Times New Roman"/>
          <w:sz w:val="20"/>
        </w:rPr>
        <w:t>Li, Y., Yu, R., Shahabi, C. and Liu, Y. (2018) 'Diffusion convolutional recurrent neural network: Data-driven traffic forecasting', in Proceedings of the International Conference on Learning Representations (ICLR 2018). Available at: https://arxiv.org/abs/1707.01926.</w:t>
      </w:r>
    </w:p>
    <w:p w14:paraId="2C45C877" w14:textId="77777777" w:rsidR="00D42293" w:rsidRDefault="00000000">
      <w:pPr>
        <w:spacing w:before="40" w:after="120" w:line="320" w:lineRule="exact"/>
        <w:ind w:left="720" w:hanging="720"/>
      </w:pPr>
      <w:r>
        <w:rPr>
          <w:rFonts w:ascii="Times New Roman" w:hAnsi="Times New Roman"/>
          <w:sz w:val="20"/>
        </w:rPr>
        <w:t>Lundberg, S.M. and Lee, S.I. (2017) 'A unified approach to interpreting model predictions', in Advances in Neural Information Processing Systems 30 (NeurIPS 2017), pp. 4765–4774. Available at: https://proceedings.neurips.cc/paper/2017/hash/8a20a8621978632d76c43dfd28b67767-Abstract.html.</w:t>
      </w:r>
    </w:p>
    <w:p w14:paraId="0C284132" w14:textId="77777777" w:rsidR="00D42293" w:rsidRDefault="00000000">
      <w:pPr>
        <w:spacing w:before="40" w:after="120" w:line="320" w:lineRule="exact"/>
        <w:ind w:left="720" w:hanging="720"/>
      </w:pPr>
      <w:r>
        <w:rPr>
          <w:rFonts w:ascii="Times New Roman" w:hAnsi="Times New Roman"/>
          <w:sz w:val="20"/>
        </w:rPr>
        <w:t>MOCCAE (2021) UAE Announces Plan to Plant 100 Million Mangroves by 2030 at COP26. Abu Dhabi: Ministry of Climate Change and Environment, United Arab Emirates.</w:t>
      </w:r>
    </w:p>
    <w:p w14:paraId="7F59C4F8" w14:textId="77777777" w:rsidR="00D42293" w:rsidRDefault="00000000">
      <w:pPr>
        <w:spacing w:before="40" w:after="120" w:line="320" w:lineRule="exact"/>
        <w:ind w:left="720" w:hanging="720"/>
      </w:pPr>
      <w:r>
        <w:rPr>
          <w:rFonts w:ascii="Times New Roman" w:hAnsi="Times New Roman"/>
          <w:sz w:val="20"/>
        </w:rPr>
        <w:t>MOCCAE (2022) UAE Climate-Responsible Companies Pledge: Driving Private Sector Decarbonisation. Abu Dhabi: Ministry of Climate Change and Environment, United Arab Emirates.</w:t>
      </w:r>
    </w:p>
    <w:p w14:paraId="31E66BEF" w14:textId="77777777" w:rsidR="00D42293" w:rsidRDefault="00000000">
      <w:pPr>
        <w:spacing w:before="40" w:after="120" w:line="320" w:lineRule="exact"/>
        <w:ind w:left="720" w:hanging="720"/>
      </w:pPr>
      <w:r>
        <w:rPr>
          <w:rFonts w:ascii="Times New Roman" w:hAnsi="Times New Roman"/>
          <w:sz w:val="20"/>
        </w:rPr>
        <w:t>MOCCAE (2023) UAE National Blue Carbon Programme: COP28 Progress Report. Abu Dhabi: Ministry of Climate Change and Environment, United Arab Emirates.</w:t>
      </w:r>
    </w:p>
    <w:p w14:paraId="6FC783D1" w14:textId="77777777" w:rsidR="00D42293" w:rsidRDefault="00000000">
      <w:pPr>
        <w:spacing w:before="40" w:after="120" w:line="320" w:lineRule="exact"/>
        <w:ind w:left="720" w:hanging="720"/>
      </w:pPr>
      <w:r>
        <w:rPr>
          <w:rFonts w:ascii="Times New Roman" w:hAnsi="Times New Roman"/>
          <w:sz w:val="20"/>
        </w:rPr>
        <w:t>Macreadie, P.I., Anton, A., Raven, J.A., Beaumont, N., Connolly, R.M., Friess, D.A., Kelleway, J.J., Kennedy, H., Kuwae, T., Lavery, P.S. and Lovelock, C.E. (2021) 'The future of blue carbon science', Nature Reviews Earth and Environment, 2(12), pp. 826–839. Available at: https://doi.org/10.1038/s43017-021-00224-1.</w:t>
      </w:r>
    </w:p>
    <w:p w14:paraId="5418DA84" w14:textId="77777777" w:rsidR="00D42293" w:rsidRDefault="00000000">
      <w:pPr>
        <w:spacing w:before="40" w:after="120" w:line="320" w:lineRule="exact"/>
        <w:ind w:left="720" w:hanging="720"/>
      </w:pPr>
      <w:r>
        <w:rPr>
          <w:rFonts w:ascii="Times New Roman" w:hAnsi="Times New Roman"/>
          <w:sz w:val="20"/>
        </w:rPr>
        <w:t>Melo, J., Oliveira, A. and Teodoro, A. (2022) 'Integrating Sentinel-1 and Sentinel-2 imagery for mangrove mapping in arid coastal environments', ISPRS Journal of Photogrammetry and Remote Sensing, 193, pp. 386–399.</w:t>
      </w:r>
    </w:p>
    <w:p w14:paraId="5883E1E1" w14:textId="77777777" w:rsidR="00D42293" w:rsidRDefault="00000000">
      <w:pPr>
        <w:spacing w:before="40" w:after="120" w:line="320" w:lineRule="exact"/>
        <w:ind w:left="720" w:hanging="720"/>
      </w:pPr>
      <w:r>
        <w:rPr>
          <w:rFonts w:ascii="Times New Roman" w:hAnsi="Times New Roman"/>
          <w:sz w:val="20"/>
        </w:rPr>
        <w:t>Molnar, C. (2020) Interpretable Machine Learning: A Guide for Making Black Box Models Explainable. 2nd edn. Leanpub. Available at: https://christophm.github.io/interpretable-ml-book/.</w:t>
      </w:r>
    </w:p>
    <w:p w14:paraId="567D4C1B" w14:textId="77777777" w:rsidR="00D42293" w:rsidRDefault="00000000">
      <w:pPr>
        <w:spacing w:before="40" w:after="120" w:line="320" w:lineRule="exact"/>
        <w:ind w:left="720" w:hanging="720"/>
      </w:pPr>
      <w:r>
        <w:rPr>
          <w:rFonts w:ascii="Times New Roman" w:hAnsi="Times New Roman"/>
          <w:sz w:val="20"/>
        </w:rPr>
        <w:t xml:space="preserve">Murdiyarso, D., Purbopuspito, J., Kauffman, J.B., Warren, M.W., Sasmito, S.D., Donato, D.C., Manuri, S., Krisnawati, H., Taberima, S. and Kurnianto, S. (2015) 'The potential of Indonesian mangrove forests </w:t>
      </w:r>
      <w:r>
        <w:rPr>
          <w:rFonts w:ascii="Times New Roman" w:hAnsi="Times New Roman"/>
          <w:sz w:val="20"/>
        </w:rPr>
        <w:lastRenderedPageBreak/>
        <w:t>for global climate change mitigation', Nature Climate Change, 5(12), pp. 1089–1092. Available at: https://doi.org/10.1038/nclimate2734.</w:t>
      </w:r>
    </w:p>
    <w:p w14:paraId="1FDD79B5" w14:textId="77777777" w:rsidR="00D42293" w:rsidRDefault="00000000">
      <w:pPr>
        <w:spacing w:before="40" w:after="120" w:line="320" w:lineRule="exact"/>
        <w:ind w:left="720" w:hanging="720"/>
      </w:pPr>
      <w:r>
        <w:rPr>
          <w:rFonts w:ascii="Times New Roman" w:hAnsi="Times New Roman"/>
          <w:sz w:val="20"/>
        </w:rPr>
        <w:t>Pham, T.D., Yokoya, N., Bui, D.T., Yoshino, K. and Friess, D.A. (2019) 'Remote sensing approaches for monitoring mangrove species, structure, and biomass: Opportunities and challenges', Remote Sensing, 11(3), p. 230. Available at: https://doi.org/10.3390/rs11030230.</w:t>
      </w:r>
    </w:p>
    <w:p w14:paraId="0E92DCB0" w14:textId="77777777" w:rsidR="00D42293" w:rsidRDefault="00000000">
      <w:pPr>
        <w:spacing w:before="40" w:after="120" w:line="320" w:lineRule="exact"/>
        <w:ind w:left="720" w:hanging="720"/>
      </w:pPr>
      <w:r>
        <w:rPr>
          <w:rFonts w:ascii="Times New Roman" w:hAnsi="Times New Roman"/>
          <w:sz w:val="20"/>
        </w:rPr>
        <w:t>Reuters (2023) 'UAE launches regulated carbon credit trading platform ahead of COP28', Reuters, 20 November. Available at: https://www.reuters.com/sustainability/climate-energy/uae-launches-regulated-carbon-credit-trading-platform-ahead-cop28-2023-11-20/ (Accessed: 15 August 2026).</w:t>
      </w:r>
    </w:p>
    <w:p w14:paraId="33290DCD" w14:textId="77777777" w:rsidR="00D42293" w:rsidRDefault="00000000">
      <w:pPr>
        <w:spacing w:before="40" w:after="120" w:line="320" w:lineRule="exact"/>
        <w:ind w:left="720" w:hanging="720"/>
      </w:pPr>
      <w:r>
        <w:rPr>
          <w:rFonts w:ascii="Times New Roman" w:hAnsi="Times New Roman"/>
          <w:sz w:val="20"/>
        </w:rPr>
        <w:t>Rolf, E., Proctor, J., Carleton, T., Bolliger, I., Shankar, V., Ishihara, M., Recht, B. and Hsiang, S. (2021) 'A generalizable and accessible approach to machine learning with global satellite imagery', Nature Communications, 12, p. 4392. Available at: https://doi.org/10.1038/s41467-021-24638-z.</w:t>
      </w:r>
    </w:p>
    <w:p w14:paraId="49033E59" w14:textId="77777777" w:rsidR="00D42293" w:rsidRDefault="00000000">
      <w:pPr>
        <w:spacing w:before="40" w:after="120" w:line="320" w:lineRule="exact"/>
        <w:ind w:left="720" w:hanging="720"/>
      </w:pPr>
      <w:r>
        <w:rPr>
          <w:rFonts w:ascii="Times New Roman" w:hAnsi="Times New Roman"/>
          <w:sz w:val="20"/>
        </w:rPr>
        <w:t>Roscher, R., Bohn, B., Duarte, M.F. and Garcke, J. (2020) 'Explainable machine learning for scientific insights and discoveries', IEEE Access, 8, pp. 42200–42216. Available at: https://doi.org/10.1109/ACCESS.2020.2976149.</w:t>
      </w:r>
    </w:p>
    <w:p w14:paraId="1C7BC41C" w14:textId="77777777" w:rsidR="00D42293" w:rsidRDefault="00000000">
      <w:pPr>
        <w:spacing w:before="40" w:after="120" w:line="320" w:lineRule="exact"/>
        <w:ind w:left="720" w:hanging="720"/>
      </w:pPr>
      <w:r>
        <w:rPr>
          <w:rFonts w:ascii="Times New Roman" w:hAnsi="Times New Roman"/>
          <w:sz w:val="20"/>
        </w:rPr>
        <w:t>Schile, L.M., Kauffman, J.B., Crooks, S., Hazen, F.G., Fonnesbeck, C. and Megonigal, J.P. (2017) 'Limits on carbon sequestration in arid blue carbon ecosystems', Ecological Applications, 27(3), pp. 859–874.</w:t>
      </w:r>
    </w:p>
    <w:p w14:paraId="531F2F9A" w14:textId="77777777" w:rsidR="00D42293" w:rsidRDefault="00000000">
      <w:pPr>
        <w:spacing w:before="40" w:after="120" w:line="320" w:lineRule="exact"/>
        <w:ind w:left="720" w:hanging="720"/>
      </w:pPr>
      <w:r>
        <w:rPr>
          <w:rFonts w:ascii="Times New Roman" w:hAnsi="Times New Roman"/>
          <w:sz w:val="20"/>
        </w:rPr>
        <w:t>Simard, M., Fatoyinbo, L., Smetanka, C., Rivera-Monroy, V.H., Castañeda-Moya, E., Thomas, N. and Van der Stocken, T. (2019) 'Mangrove canopy height globally related to precipitation, temperature and cyclone frequency', Nature Geoscience, 12(1), pp. 40–45. Available at: https://doi.org/10.1038/s41561-018-0279-1.</w:t>
      </w:r>
    </w:p>
    <w:p w14:paraId="6E720115" w14:textId="77777777" w:rsidR="00D42293" w:rsidRDefault="00000000">
      <w:pPr>
        <w:spacing w:before="40" w:after="120" w:line="320" w:lineRule="exact"/>
        <w:ind w:left="720" w:hanging="720"/>
      </w:pPr>
      <w:r>
        <w:rPr>
          <w:rFonts w:ascii="Times New Roman" w:hAnsi="Times New Roman"/>
          <w:sz w:val="20"/>
        </w:rPr>
        <w:t>Slack, D., Hilgard, S., Jia, E., Singh, S. and Lakkaraju, H. (2020) 'Fooling LIME and SHAP: Adversarial attacks on post hoc explanation methods', in Proceedings of the AAAI/ACM Conference on AI, Ethics, and Society (AIES 2020), pp. 180–186. Available at: https://doi.org/10.1145/3375627.3375830.</w:t>
      </w:r>
    </w:p>
    <w:p w14:paraId="26A0702D" w14:textId="77777777" w:rsidR="00D42293" w:rsidRDefault="00000000">
      <w:pPr>
        <w:spacing w:before="40" w:after="120" w:line="320" w:lineRule="exact"/>
        <w:ind w:left="720" w:hanging="720"/>
      </w:pPr>
      <w:r>
        <w:rPr>
          <w:rFonts w:ascii="Times New Roman" w:hAnsi="Times New Roman"/>
          <w:sz w:val="20"/>
        </w:rPr>
        <w:t>Taillardat, P., Friess, D.A. and Lupascu, M. (2018) 'Mangrove blue carbon strategies for climate change mitigation are most effective at the national scale', Biology Letters, 14(10), p. 20180251.</w:t>
      </w:r>
    </w:p>
    <w:p w14:paraId="73FC3766" w14:textId="77777777" w:rsidR="00D42293" w:rsidRDefault="00000000">
      <w:pPr>
        <w:spacing w:before="40" w:after="120" w:line="320" w:lineRule="exact"/>
        <w:ind w:left="720" w:hanging="720"/>
      </w:pPr>
      <w:r>
        <w:rPr>
          <w:rFonts w:ascii="Times New Roman" w:hAnsi="Times New Roman"/>
          <w:sz w:val="20"/>
        </w:rPr>
        <w:t>The National (2022) 'UAE to plant 100 million mangroves by 2030 to bolster blue carbon sinks', The National, 8 November. Available at: https://www.thenationalnews.com/climate/cop27/2022/11/08/uae-to-plant-100-million-mangroves-by-2030-in-expanded-pledge/ (Accessed: 10 August 2026).</w:t>
      </w:r>
    </w:p>
    <w:p w14:paraId="2DE64814" w14:textId="77777777" w:rsidR="00D42293" w:rsidRDefault="00000000">
      <w:pPr>
        <w:spacing w:before="40" w:after="120" w:line="320" w:lineRule="exact"/>
        <w:ind w:left="720" w:hanging="720"/>
      </w:pPr>
      <w:r>
        <w:rPr>
          <w:rFonts w:ascii="Times New Roman" w:hAnsi="Times New Roman"/>
          <w:sz w:val="20"/>
        </w:rPr>
        <w:t>Tuia, D., Persello, C. and Bruzzone, L. (2016) 'Domain adaptation for the classification of remote sensing data: An overview of recent advances', IEEE Geoscience and Remote Sensing Magazine, 4(2), pp. 41–57. Available at: https://doi.org/10.1109/MGRS.2016.2548504.</w:t>
      </w:r>
    </w:p>
    <w:p w14:paraId="76680333" w14:textId="77777777" w:rsidR="00D42293" w:rsidRDefault="00000000">
      <w:pPr>
        <w:spacing w:before="40" w:after="120" w:line="320" w:lineRule="exact"/>
        <w:ind w:left="720" w:hanging="720"/>
      </w:pPr>
      <w:r>
        <w:rPr>
          <w:rFonts w:ascii="Times New Roman" w:hAnsi="Times New Roman"/>
          <w:sz w:val="20"/>
        </w:rPr>
        <w:t>UAE Government (2023) Federal Decree-Law No. 11 of 2023 on the Protection and Development of the Environment. Abu Dhabi: Official Gazette of the United Arab Emirates.</w:t>
      </w:r>
    </w:p>
    <w:p w14:paraId="0F4FB6DD" w14:textId="77777777" w:rsidR="00D42293" w:rsidRDefault="00000000">
      <w:pPr>
        <w:spacing w:before="40" w:after="120" w:line="320" w:lineRule="exact"/>
        <w:ind w:left="720" w:hanging="720"/>
      </w:pPr>
      <w:r>
        <w:rPr>
          <w:rFonts w:ascii="Times New Roman" w:hAnsi="Times New Roman"/>
          <w:sz w:val="20"/>
        </w:rPr>
        <w:t>UNEP (2023) Emissions Gap Report 2023: The Broken Record – Temperatures hit new highs, yet world fails to cut emissions (again). Nairobi: United Nations Environment Programme. Available at: https://doi.org/10.59170/9789280740981.</w:t>
      </w:r>
    </w:p>
    <w:p w14:paraId="0026EF2A" w14:textId="77777777" w:rsidR="00D42293" w:rsidRDefault="00000000">
      <w:pPr>
        <w:spacing w:before="40" w:after="120" w:line="320" w:lineRule="exact"/>
        <w:ind w:left="720" w:hanging="720"/>
      </w:pPr>
      <w:r>
        <w:rPr>
          <w:rFonts w:ascii="Times New Roman" w:hAnsi="Times New Roman"/>
          <w:sz w:val="20"/>
        </w:rPr>
        <w:lastRenderedPageBreak/>
        <w:t>UNFCCC (2015) The Paris Agreement. Bonn: United Nations Framework Convention on Climate Change. Available at: https://unfccc.int/process-and-meetings/the-paris-agreement.</w:t>
      </w:r>
    </w:p>
    <w:p w14:paraId="70B1DE8B" w14:textId="77777777" w:rsidR="00D42293" w:rsidRDefault="00000000">
      <w:pPr>
        <w:spacing w:before="40" w:after="120" w:line="320" w:lineRule="exact"/>
        <w:ind w:left="720" w:hanging="720"/>
      </w:pPr>
      <w:r>
        <w:rPr>
          <w:rFonts w:ascii="Times New Roman" w:hAnsi="Times New Roman"/>
          <w:sz w:val="20"/>
        </w:rPr>
        <w:t>Verra (2022) VM0033 Methodology for Tidal Wetland and Seagrass Restoration, v2.1. Washington, DC: Verra. Available at: https://verra.org/methodologies/vm0033-methodology-for-tidal-wetland-and-seagrass-restoration-v2-1/.</w:t>
      </w:r>
    </w:p>
    <w:p w14:paraId="72B374DA" w14:textId="77777777" w:rsidR="00D42293" w:rsidRDefault="00000000">
      <w:pPr>
        <w:spacing w:before="40" w:after="120" w:line="320" w:lineRule="exact"/>
        <w:ind w:left="720" w:hanging="720"/>
      </w:pPr>
      <w:r>
        <w:rPr>
          <w:rFonts w:ascii="Times New Roman" w:hAnsi="Times New Roman"/>
          <w:sz w:val="20"/>
        </w:rPr>
        <w:t>Verra (2023) Verified Carbon Standard: Program Guide, v4.4. Washington, DC: Verra.</w:t>
      </w:r>
    </w:p>
    <w:p w14:paraId="6996CF3F" w14:textId="77777777" w:rsidR="00D42293" w:rsidRDefault="00000000">
      <w:pPr>
        <w:spacing w:before="40" w:after="120" w:line="320" w:lineRule="exact"/>
        <w:ind w:left="720" w:hanging="720"/>
      </w:pPr>
      <w:r>
        <w:rPr>
          <w:rFonts w:ascii="Times New Roman" w:hAnsi="Times New Roman"/>
          <w:sz w:val="20"/>
        </w:rPr>
        <w:t>WAM (2022) 'UAE reaffirms commitment to plant 100 million mangroves by 2030 at COP27', Emirates News Agency (WAM), 9 November. Available at: https://wam.ae/en/details/1395303099955 (Accessed: 8 August 2026).</w:t>
      </w:r>
    </w:p>
    <w:p w14:paraId="59998E0F" w14:textId="77777777" w:rsidR="00D42293" w:rsidRDefault="00000000">
      <w:pPr>
        <w:spacing w:before="40" w:after="120" w:line="320" w:lineRule="exact"/>
        <w:ind w:left="720" w:hanging="720"/>
      </w:pPr>
      <w:r>
        <w:rPr>
          <w:rFonts w:ascii="Times New Roman" w:hAnsi="Times New Roman"/>
          <w:sz w:val="20"/>
        </w:rPr>
        <w:t>Wang, L., Jia, M., Yin, D. and Tian, J. (2019) 'A review of remote sensing for mangrove forests: 1956–2018', Remote Sensing of Environment, 231, p. 111223. Available at: https://doi.org/10.1016/j.rse.2019.111223.</w:t>
      </w:r>
    </w:p>
    <w:p w14:paraId="72EBBE0C" w14:textId="77777777" w:rsidR="00D42293" w:rsidRDefault="00000000">
      <w:pPr>
        <w:spacing w:before="40" w:after="120" w:line="320" w:lineRule="exact"/>
        <w:ind w:left="720" w:hanging="720"/>
      </w:pPr>
      <w:r>
        <w:rPr>
          <w:rFonts w:ascii="Times New Roman" w:hAnsi="Times New Roman"/>
          <w:sz w:val="20"/>
        </w:rPr>
        <w:t>World Bank (2022) Blue Carbon: A Roadmap for Developing High-Integrity Blue Carbon Projects. Washington, DC: World Bank Group.</w:t>
      </w:r>
    </w:p>
    <w:p w14:paraId="58E6C214" w14:textId="77777777" w:rsidR="00D42293" w:rsidRDefault="00000000">
      <w:pPr>
        <w:spacing w:before="40" w:after="120" w:line="320" w:lineRule="exact"/>
        <w:ind w:left="720" w:hanging="720"/>
      </w:pPr>
      <w:r>
        <w:rPr>
          <w:rFonts w:ascii="Times New Roman" w:hAnsi="Times New Roman"/>
          <w:sz w:val="20"/>
        </w:rPr>
        <w:t>Wu, Z., Pan, S., Long, G., Jiang, J., Chang, X. and Zhang, C. (2020) 'Connecting the dots: Multivariate time series forecasting with graph neural networks', in Proceedings of the 26th ACM SIGKDD International Conference on Knowledge Discovery and Data Mining (KDD '20), pp. 753–763. Available at: https://doi.org/10.1145/3394486.3403118.</w:t>
      </w:r>
    </w:p>
    <w:p w14:paraId="27B04C83" w14:textId="77777777" w:rsidR="00D42293" w:rsidRDefault="00000000">
      <w:pPr>
        <w:spacing w:before="40" w:after="120" w:line="320" w:lineRule="exact"/>
        <w:ind w:left="720" w:hanging="720"/>
      </w:pPr>
      <w:r>
        <w:rPr>
          <w:rFonts w:ascii="Times New Roman" w:hAnsi="Times New Roman"/>
          <w:sz w:val="20"/>
        </w:rPr>
        <w:t>Yu, B., Yin, H. and Zhu, Z. (2018) 'Spatio-temporal graph convolutional networks: A deep learning framework for traffic flow forecasting', in Proceedings of the 27th International Joint Conference on Artificial Intelligence (IJCAI 2018), pp. 3634–3640. Available at: https://doi.org/10.24963/ijcai.2018/505.</w:t>
      </w:r>
    </w:p>
    <w:p w14:paraId="31740FDD" w14:textId="77777777" w:rsidR="00D42293" w:rsidRDefault="00000000">
      <w:pPr>
        <w:spacing w:before="40" w:after="120" w:line="320" w:lineRule="exact"/>
        <w:ind w:left="720" w:hanging="720"/>
      </w:pPr>
      <w:r>
        <w:rPr>
          <w:rFonts w:ascii="Times New Roman" w:hAnsi="Times New Roman"/>
          <w:sz w:val="20"/>
        </w:rPr>
        <w:t>Zeng, Y., Sarira, T.V., Carrasco, L.R., Chong, K.Y., Friess, D.A., Lee, J.S.H., Taillardat, P., Worthington, T.A., Zhang, Y. and Koh, L.P. (2021) 'Economic and social constraints on reforestation for carbon mitigation in Southeast Asia', Nature Climate Change, 11(10), pp. 842–847. Available at: https://doi.org/10.1038/s41558-021-01164-3.</w:t>
      </w:r>
    </w:p>
    <w:p w14:paraId="4C9155B2" w14:textId="77777777" w:rsidR="00D42293" w:rsidRDefault="00000000">
      <w:pPr>
        <w:spacing w:before="40" w:after="120" w:line="320" w:lineRule="exact"/>
        <w:ind w:left="720" w:hanging="720"/>
      </w:pPr>
      <w:r>
        <w:rPr>
          <w:rFonts w:ascii="Times New Roman" w:hAnsi="Times New Roman"/>
          <w:sz w:val="20"/>
        </w:rPr>
        <w:t>Zhang, Q., Yuan, Q., Zeng, C., Li, X. and Wei, Y. (2018) 'Missing data reconstruction in remote sensing images with a unified spatial-temporal-spectral deep convolutional neural network', IEEE Transactions on Geoscience and Remote Sensing, 56(8), pp. 4274–4288. Available at: https://doi.org/10.1109/TGRS.2018.2819200.</w:t>
      </w:r>
    </w:p>
    <w:p w14:paraId="7E916148" w14:textId="77777777" w:rsidR="00D42293" w:rsidRDefault="00000000">
      <w:pPr>
        <w:spacing w:before="40" w:after="120" w:line="320" w:lineRule="exact"/>
        <w:ind w:left="720" w:hanging="720"/>
      </w:pPr>
      <w:r>
        <w:rPr>
          <w:rFonts w:ascii="Times New Roman" w:hAnsi="Times New Roman"/>
          <w:sz w:val="20"/>
        </w:rPr>
        <w:t>Zhu, X.X., Tuia, D., Mou, L., Xia, G.S., Zhang, L., Xu, F. and Fraundorfer, F. (2017) 'Deep learning in remote sensing: A comprehensive review and list of resources', IEEE Geoscience and Remote Sensing Magazine, 5(4), pp. 8–36. Available at: https://doi.org/10.1109/MGRS.2017.2762087.</w:t>
      </w:r>
    </w:p>
    <w:p w14:paraId="2A4DFC45" w14:textId="77777777" w:rsidR="00D42293" w:rsidRDefault="00000000">
      <w:r>
        <w:br w:type="page"/>
      </w:r>
    </w:p>
    <w:p w14:paraId="0CD3B950" w14:textId="77777777" w:rsidR="00D42293" w:rsidRDefault="00000000">
      <w:pPr>
        <w:keepNext/>
        <w:spacing w:before="360" w:after="240"/>
      </w:pPr>
      <w:r>
        <w:rPr>
          <w:rFonts w:ascii="Times New Roman" w:hAnsi="Times New Roman"/>
          <w:b/>
          <w:color w:val="003366"/>
          <w:sz w:val="32"/>
        </w:rPr>
        <w:lastRenderedPageBreak/>
        <w:t>Appendices</w:t>
      </w:r>
    </w:p>
    <w:p w14:paraId="3178E829" w14:textId="77777777" w:rsidR="00D42293" w:rsidRDefault="00000000">
      <w:pPr>
        <w:keepNext/>
        <w:spacing w:before="280" w:after="120"/>
      </w:pPr>
      <w:r>
        <w:rPr>
          <w:rFonts w:ascii="Times New Roman" w:hAnsi="Times New Roman"/>
          <w:b/>
          <w:color w:val="005078"/>
          <w:sz w:val="26"/>
        </w:rPr>
        <w:t>Appendix A: Middlesex University Dubai Ethics Screening Form Summary</w:t>
      </w:r>
    </w:p>
    <w:p w14:paraId="066F4C48" w14:textId="77777777" w:rsidR="00D42293" w:rsidRDefault="00000000">
      <w:pPr>
        <w:spacing w:after="120" w:line="360" w:lineRule="exact"/>
        <w:jc w:val="both"/>
      </w:pPr>
      <w:r>
        <w:rPr>
          <w:rFonts w:ascii="Times New Roman" w:hAnsi="Times New Roman"/>
          <w:sz w:val="24"/>
        </w:rPr>
        <w:t>The formal research ethics screening for this project was submitted to and approved by the Middlesex University Dubai Research Ethics Committee under Module CST4275. Key screening details are summarized below:</w:t>
      </w:r>
    </w:p>
    <w:p w14:paraId="76CE2265" w14:textId="77777777" w:rsidR="00D42293" w:rsidRDefault="00000000">
      <w:pPr>
        <w:pStyle w:val="ListBullet"/>
        <w:spacing w:before="40" w:after="60" w:line="360" w:lineRule="exact"/>
        <w:ind w:left="576"/>
      </w:pPr>
      <w:r>
        <w:rPr>
          <w:rFonts w:ascii="Times New Roman" w:hAnsi="Times New Roman"/>
          <w:b/>
          <w:sz w:val="24"/>
        </w:rPr>
        <w:t xml:space="preserve">Project Title: </w:t>
      </w:r>
      <w:r>
        <w:rPr>
          <w:rFonts w:ascii="Times New Roman" w:hAnsi="Times New Roman"/>
          <w:sz w:val="24"/>
        </w:rPr>
        <w:t>Mangrove Carbon Intelligence Platform (MCIP): Automated Blue Carbon MRV Using Spatio-Temporal Graph Neural Networks.</w:t>
      </w:r>
    </w:p>
    <w:p w14:paraId="5D0A7E64" w14:textId="77777777" w:rsidR="00D42293" w:rsidRDefault="00000000">
      <w:pPr>
        <w:pStyle w:val="ListBullet"/>
        <w:spacing w:before="40" w:after="60" w:line="360" w:lineRule="exact"/>
        <w:ind w:left="576"/>
      </w:pPr>
      <w:r>
        <w:rPr>
          <w:rFonts w:ascii="Times New Roman" w:hAnsi="Times New Roman"/>
          <w:b/>
          <w:sz w:val="24"/>
        </w:rPr>
        <w:t xml:space="preserve">Student Investigator: </w:t>
      </w:r>
      <w:r>
        <w:rPr>
          <w:rFonts w:ascii="Times New Roman" w:hAnsi="Times New Roman"/>
          <w:sz w:val="24"/>
        </w:rPr>
        <w:t>Narendra Gandikota (Student ID: M01092206).</w:t>
      </w:r>
    </w:p>
    <w:p w14:paraId="769FAC59" w14:textId="77777777" w:rsidR="00D42293" w:rsidRDefault="00000000">
      <w:pPr>
        <w:pStyle w:val="ListBullet"/>
        <w:spacing w:before="40" w:after="60" w:line="360" w:lineRule="exact"/>
        <w:ind w:left="576"/>
      </w:pPr>
      <w:r>
        <w:rPr>
          <w:rFonts w:ascii="Times New Roman" w:hAnsi="Times New Roman"/>
          <w:b/>
          <w:sz w:val="24"/>
        </w:rPr>
        <w:t xml:space="preserve">Academic Supervisor: </w:t>
      </w:r>
      <w:r>
        <w:rPr>
          <w:rFonts w:ascii="Times New Roman" w:hAnsi="Times New Roman"/>
          <w:sz w:val="24"/>
        </w:rPr>
        <w:t>Dr. Krishnadas Nanath.</w:t>
      </w:r>
    </w:p>
    <w:p w14:paraId="66A3D35B" w14:textId="77777777" w:rsidR="00D42293" w:rsidRDefault="00000000">
      <w:pPr>
        <w:pStyle w:val="ListBullet"/>
        <w:spacing w:before="40" w:after="60" w:line="360" w:lineRule="exact"/>
        <w:ind w:left="576"/>
      </w:pPr>
      <w:r>
        <w:rPr>
          <w:rFonts w:ascii="Times New Roman" w:hAnsi="Times New Roman"/>
          <w:b/>
          <w:sz w:val="24"/>
        </w:rPr>
        <w:t xml:space="preserve">Risk Classification: </w:t>
      </w:r>
      <w:r>
        <w:rPr>
          <w:rFonts w:ascii="Times New Roman" w:hAnsi="Times New Roman"/>
          <w:sz w:val="24"/>
        </w:rPr>
        <w:t>LOW RISK (Category 1).</w:t>
      </w:r>
    </w:p>
    <w:p w14:paraId="35F0422B" w14:textId="77777777" w:rsidR="00D42293" w:rsidRDefault="00000000">
      <w:pPr>
        <w:pStyle w:val="ListBullet"/>
        <w:spacing w:before="40" w:after="60" w:line="360" w:lineRule="exact"/>
        <w:ind w:left="576"/>
      </w:pPr>
      <w:r>
        <w:rPr>
          <w:rFonts w:ascii="Times New Roman" w:hAnsi="Times New Roman"/>
          <w:b/>
          <w:sz w:val="24"/>
        </w:rPr>
        <w:t xml:space="preserve">Human Participants: </w:t>
      </w:r>
      <w:r>
        <w:rPr>
          <w:rFonts w:ascii="Times New Roman" w:hAnsi="Times New Roman"/>
          <w:sz w:val="24"/>
        </w:rPr>
        <w:t>None. Zero human interviews, surveys, or behavioral tracking were conducted.</w:t>
      </w:r>
    </w:p>
    <w:p w14:paraId="5D274BFA" w14:textId="77777777" w:rsidR="00D42293" w:rsidRDefault="00000000">
      <w:pPr>
        <w:pStyle w:val="ListBullet"/>
        <w:spacing w:before="40" w:after="60" w:line="360" w:lineRule="exact"/>
        <w:ind w:left="576"/>
      </w:pPr>
      <w:r>
        <w:rPr>
          <w:rFonts w:ascii="Times New Roman" w:hAnsi="Times New Roman"/>
          <w:b/>
          <w:sz w:val="24"/>
        </w:rPr>
        <w:t xml:space="preserve">Animal / Biological Subjects: </w:t>
      </w:r>
      <w:r>
        <w:rPr>
          <w:rFonts w:ascii="Times New Roman" w:hAnsi="Times New Roman"/>
          <w:sz w:val="24"/>
        </w:rPr>
        <w:t>None. No biological organisms or tissue samples were handled.</w:t>
      </w:r>
    </w:p>
    <w:p w14:paraId="479AA64A" w14:textId="77777777" w:rsidR="00D42293" w:rsidRDefault="00000000">
      <w:pPr>
        <w:pStyle w:val="ListBullet"/>
        <w:spacing w:before="40" w:after="60" w:line="360" w:lineRule="exact"/>
        <w:ind w:left="576"/>
      </w:pPr>
      <w:r>
        <w:rPr>
          <w:rFonts w:ascii="Times New Roman" w:hAnsi="Times New Roman"/>
          <w:b/>
          <w:sz w:val="24"/>
        </w:rPr>
        <w:t xml:space="preserve">Data Privacy &amp; GDPR Compliance: </w:t>
      </w:r>
      <w:r>
        <w:rPr>
          <w:rFonts w:ascii="Times New Roman" w:hAnsi="Times New Roman"/>
          <w:sz w:val="24"/>
        </w:rPr>
        <w:t>Zero private, confidential, or personally identifiable data was collected. Telemetry is exclusively derived from public Earth observation archives (ESA Copernicus and NASA Earthdata).</w:t>
      </w:r>
    </w:p>
    <w:p w14:paraId="12EA3103" w14:textId="77777777" w:rsidR="00D42293" w:rsidRDefault="00000000">
      <w:pPr>
        <w:pStyle w:val="ListBullet"/>
        <w:spacing w:before="40" w:after="60" w:line="360" w:lineRule="exact"/>
        <w:ind w:left="576"/>
      </w:pPr>
      <w:r>
        <w:rPr>
          <w:rFonts w:ascii="Times New Roman" w:hAnsi="Times New Roman"/>
          <w:b/>
          <w:sz w:val="24"/>
        </w:rPr>
        <w:t xml:space="preserve">Environmental &amp; Social Impact: </w:t>
      </w:r>
      <w:r>
        <w:rPr>
          <w:rFonts w:ascii="Times New Roman" w:hAnsi="Times New Roman"/>
          <w:sz w:val="24"/>
        </w:rPr>
        <w:t>Positive environmental impact. The research develops open digital technologies aimed at preserving coastal wetlands, mitigating global warming, and supporting national conservation targets.</w:t>
      </w:r>
    </w:p>
    <w:p w14:paraId="3D67088C" w14:textId="77777777" w:rsidR="00D42293" w:rsidRDefault="00000000">
      <w:pPr>
        <w:keepNext/>
        <w:spacing w:before="280" w:after="120"/>
      </w:pPr>
      <w:r>
        <w:rPr>
          <w:rFonts w:ascii="Times New Roman" w:hAnsi="Times New Roman"/>
          <w:b/>
          <w:color w:val="005078"/>
          <w:sz w:val="26"/>
        </w:rPr>
        <w:t>Appendix B: Computing Infrastructure &amp; Technical Specifications</w:t>
      </w:r>
    </w:p>
    <w:p w14:paraId="34BFAF23" w14:textId="77777777" w:rsidR="00D42293" w:rsidRDefault="00000000">
      <w:pPr>
        <w:spacing w:after="120" w:line="360" w:lineRule="exact"/>
        <w:jc w:val="both"/>
      </w:pPr>
      <w:r>
        <w:rPr>
          <w:rFonts w:ascii="Times New Roman" w:hAnsi="Times New Roman"/>
          <w:sz w:val="24"/>
        </w:rPr>
        <w:t>To ensure scientific reproducibility, the complete computing environment and software specifications utilized for training, benchmarking, and platform deployment are documented below:</w:t>
      </w:r>
    </w:p>
    <w:p w14:paraId="38AEA81C" w14:textId="77777777" w:rsidR="00D42293" w:rsidRDefault="00000000">
      <w:pPr>
        <w:pStyle w:val="ListBullet"/>
        <w:spacing w:before="40" w:after="60" w:line="360" w:lineRule="exact"/>
        <w:ind w:left="576"/>
      </w:pPr>
      <w:r>
        <w:rPr>
          <w:rFonts w:ascii="Times New Roman" w:hAnsi="Times New Roman"/>
          <w:b/>
          <w:sz w:val="24"/>
        </w:rPr>
        <w:t xml:space="preserve">Cloud TPU Environment: </w:t>
      </w:r>
      <w:r>
        <w:rPr>
          <w:rFonts w:ascii="Times New Roman" w:hAnsi="Times New Roman"/>
          <w:sz w:val="24"/>
        </w:rPr>
        <w:t>Google Cloud Platform / Colab TPU v5e-1 (16 GB HBM, 250 TFLOPS) used for multi-spectral image ingestion, radiometric cloud filtering, and neural imputation pre-training.</w:t>
      </w:r>
    </w:p>
    <w:p w14:paraId="1F73FE36" w14:textId="77777777" w:rsidR="00D42293" w:rsidRDefault="00000000">
      <w:pPr>
        <w:pStyle w:val="ListBullet"/>
        <w:spacing w:before="40" w:after="60" w:line="360" w:lineRule="exact"/>
        <w:ind w:left="576"/>
      </w:pPr>
      <w:r>
        <w:rPr>
          <w:rFonts w:ascii="Times New Roman" w:hAnsi="Times New Roman"/>
          <w:b/>
          <w:sz w:val="24"/>
        </w:rPr>
        <w:t xml:space="preserve">Local Development Workstation: </w:t>
      </w:r>
      <w:r>
        <w:rPr>
          <w:rFonts w:ascii="Times New Roman" w:hAnsi="Times New Roman"/>
          <w:sz w:val="24"/>
        </w:rPr>
        <w:t>AMD Ryzen 7 5700U Processor (8 Cores, 16 Threads, 1.80 GHz base, 4.30 GHz boost), 16 GB DDR4 RAM, AMD Radeon Graphics (2 GB VRAM), 512 GB NVMe PCIe SSD, running 64-bit Windows 11 Enterprise.</w:t>
      </w:r>
    </w:p>
    <w:p w14:paraId="3FEC0E65" w14:textId="77777777" w:rsidR="00D42293" w:rsidRDefault="00000000">
      <w:pPr>
        <w:pStyle w:val="ListBullet"/>
        <w:spacing w:before="40" w:after="60" w:line="360" w:lineRule="exact"/>
        <w:ind w:left="576"/>
      </w:pPr>
      <w:r>
        <w:rPr>
          <w:rFonts w:ascii="Times New Roman" w:hAnsi="Times New Roman"/>
          <w:b/>
          <w:sz w:val="24"/>
        </w:rPr>
        <w:lastRenderedPageBreak/>
        <w:t xml:space="preserve">Machine Learning Frameworks: </w:t>
      </w:r>
      <w:r>
        <w:rPr>
          <w:rFonts w:ascii="Times New Roman" w:hAnsi="Times New Roman"/>
          <w:sz w:val="24"/>
        </w:rPr>
        <w:t>Python 3.12, TensorFlow 2.16, Keras 3.0, PyTorch 2.3, PyTorch Geometric (PyG), scikit-learn 1.5, imbalanced-learn 0.12, NetworkX 3.3, SHAP 0.45.</w:t>
      </w:r>
    </w:p>
    <w:p w14:paraId="5DF11C0B" w14:textId="77777777" w:rsidR="00D42293" w:rsidRDefault="00000000">
      <w:pPr>
        <w:pStyle w:val="ListBullet"/>
        <w:spacing w:before="40" w:after="60" w:line="360" w:lineRule="exact"/>
        <w:ind w:left="576"/>
      </w:pPr>
      <w:r>
        <w:rPr>
          <w:rFonts w:ascii="Times New Roman" w:hAnsi="Times New Roman"/>
          <w:b/>
          <w:sz w:val="24"/>
        </w:rPr>
        <w:t xml:space="preserve">Geospatial Libraries: </w:t>
      </w:r>
      <w:r>
        <w:rPr>
          <w:rFonts w:ascii="Times New Roman" w:hAnsi="Times New Roman"/>
          <w:sz w:val="24"/>
        </w:rPr>
        <w:t>Rasterio 1.3, GDAL 3.8, Shapely 2.0, Geopandas 0.14, Folium 0.16, Google Earth Engine Python API (earthengine-api).</w:t>
      </w:r>
    </w:p>
    <w:p w14:paraId="05CDCCA8" w14:textId="77777777" w:rsidR="00D42293" w:rsidRDefault="00000000">
      <w:pPr>
        <w:pStyle w:val="ListBullet"/>
        <w:spacing w:before="40" w:after="60" w:line="360" w:lineRule="exact"/>
        <w:ind w:left="576"/>
      </w:pPr>
      <w:r>
        <w:rPr>
          <w:rFonts w:ascii="Times New Roman" w:hAnsi="Times New Roman"/>
          <w:b/>
          <w:sz w:val="24"/>
        </w:rPr>
        <w:t xml:space="preserve">Web Application Stack: </w:t>
      </w:r>
      <w:r>
        <w:rPr>
          <w:rFonts w:ascii="Times New Roman" w:hAnsi="Times New Roman"/>
          <w:sz w:val="24"/>
        </w:rPr>
        <w:t>Next.js 15 (App Router), React 19, TypeScript 5.4, Tailwind CSS 3.4, Firebase Admin SDK 12.0, Google Genkit SDK 0.5 (Gemini 2.5 Flash / Flash-Lite).</w:t>
      </w:r>
    </w:p>
    <w:p w14:paraId="433109C5" w14:textId="77777777" w:rsidR="00D42293" w:rsidRDefault="00000000">
      <w:pPr>
        <w:keepNext/>
        <w:spacing w:before="280" w:after="120"/>
      </w:pPr>
      <w:r>
        <w:rPr>
          <w:rFonts w:ascii="Times New Roman" w:hAnsi="Times New Roman"/>
          <w:b/>
          <w:color w:val="005078"/>
          <w:sz w:val="26"/>
        </w:rPr>
        <w:t>Appendix C: Project Schedule &amp; 14-Week Work Breakdown Structure</w:t>
      </w:r>
    </w:p>
    <w:p w14:paraId="4B50A202" w14:textId="77777777" w:rsidR="00D42293" w:rsidRDefault="00000000">
      <w:pPr>
        <w:spacing w:after="120" w:line="360" w:lineRule="exact"/>
        <w:jc w:val="both"/>
      </w:pPr>
      <w:r>
        <w:rPr>
          <w:rFonts w:ascii="Times New Roman" w:hAnsi="Times New Roman"/>
          <w:sz w:val="24"/>
        </w:rPr>
        <w:t>The project followed a structured 14-week execution schedule from June 2026 to September 2026. The chronological progression across all eight Work Packages is detailed in Table C.1.</w:t>
      </w:r>
    </w:p>
    <w:p w14:paraId="6F63FF97" w14:textId="77777777" w:rsidR="00D42293" w:rsidRDefault="00000000">
      <w:pPr>
        <w:spacing w:before="200" w:after="80"/>
      </w:pPr>
      <w:r>
        <w:rPr>
          <w:rFonts w:ascii="Times New Roman" w:hAnsi="Times New Roman"/>
          <w:b/>
          <w:color w:val="1E1E1E"/>
        </w:rPr>
        <w:t>Table C.1: Fourteen-Week Project Implementation Schedule and Work Breakdown Structure.</w:t>
      </w:r>
    </w:p>
    <w:tbl>
      <w:tblPr>
        <w:tblStyle w:val="TableGrid"/>
        <w:tblW w:w="0" w:type="auto"/>
        <w:jc w:val="center"/>
        <w:tblLook w:val="04A0" w:firstRow="1" w:lastRow="0" w:firstColumn="1" w:lastColumn="0" w:noHBand="0" w:noVBand="1"/>
      </w:tblPr>
      <w:tblGrid>
        <w:gridCol w:w="1470"/>
        <w:gridCol w:w="2252"/>
        <w:gridCol w:w="3225"/>
        <w:gridCol w:w="2269"/>
      </w:tblGrid>
      <w:tr w:rsidR="00D42293" w14:paraId="7703E1A9" w14:textId="77777777">
        <w:trPr>
          <w:jc w:val="center"/>
        </w:trPr>
        <w:tc>
          <w:tcPr>
            <w:tcW w:w="1728" w:type="dxa"/>
            <w:shd w:val="clear" w:color="auto" w:fill="E6ECF2"/>
          </w:tcPr>
          <w:p w14:paraId="6A512E07" w14:textId="77777777" w:rsidR="00D42293" w:rsidRDefault="00000000">
            <w:pPr>
              <w:jc w:val="center"/>
            </w:pPr>
            <w:r>
              <w:rPr>
                <w:rFonts w:ascii="Times New Roman" w:hAnsi="Times New Roman"/>
                <w:b/>
                <w:color w:val="003366"/>
                <w:sz w:val="20"/>
              </w:rPr>
              <w:t>Phase / Week</w:t>
            </w:r>
          </w:p>
        </w:tc>
        <w:tc>
          <w:tcPr>
            <w:tcW w:w="2592" w:type="dxa"/>
            <w:shd w:val="clear" w:color="auto" w:fill="E6ECF2"/>
          </w:tcPr>
          <w:p w14:paraId="475FAB38" w14:textId="77777777" w:rsidR="00D42293" w:rsidRDefault="00000000">
            <w:pPr>
              <w:jc w:val="center"/>
            </w:pPr>
            <w:r>
              <w:rPr>
                <w:rFonts w:ascii="Times New Roman" w:hAnsi="Times New Roman"/>
                <w:b/>
                <w:color w:val="003366"/>
                <w:sz w:val="20"/>
              </w:rPr>
              <w:t>Work Package</w:t>
            </w:r>
          </w:p>
        </w:tc>
        <w:tc>
          <w:tcPr>
            <w:tcW w:w="3600" w:type="dxa"/>
            <w:shd w:val="clear" w:color="auto" w:fill="E6ECF2"/>
          </w:tcPr>
          <w:p w14:paraId="3C3853AB" w14:textId="77777777" w:rsidR="00D42293" w:rsidRDefault="00000000">
            <w:pPr>
              <w:jc w:val="center"/>
            </w:pPr>
            <w:r>
              <w:rPr>
                <w:rFonts w:ascii="Times New Roman" w:hAnsi="Times New Roman"/>
                <w:b/>
                <w:color w:val="003366"/>
                <w:sz w:val="20"/>
              </w:rPr>
              <w:t>Key Milestone Activities</w:t>
            </w:r>
          </w:p>
        </w:tc>
        <w:tc>
          <w:tcPr>
            <w:tcW w:w="2592" w:type="dxa"/>
            <w:shd w:val="clear" w:color="auto" w:fill="E6ECF2"/>
          </w:tcPr>
          <w:p w14:paraId="57EE962B" w14:textId="77777777" w:rsidR="00D42293" w:rsidRDefault="00000000">
            <w:pPr>
              <w:jc w:val="center"/>
            </w:pPr>
            <w:r>
              <w:rPr>
                <w:rFonts w:ascii="Times New Roman" w:hAnsi="Times New Roman"/>
                <w:b/>
                <w:color w:val="003366"/>
                <w:sz w:val="20"/>
              </w:rPr>
              <w:t>Deliverable Output Status</w:t>
            </w:r>
          </w:p>
        </w:tc>
      </w:tr>
      <w:tr w:rsidR="00D42293" w14:paraId="029D4420" w14:textId="77777777">
        <w:trPr>
          <w:jc w:val="center"/>
        </w:trPr>
        <w:tc>
          <w:tcPr>
            <w:tcW w:w="1728" w:type="dxa"/>
          </w:tcPr>
          <w:p w14:paraId="6AF4FBC4" w14:textId="77777777" w:rsidR="00D42293" w:rsidRDefault="00000000">
            <w:pPr>
              <w:jc w:val="center"/>
            </w:pPr>
            <w:r>
              <w:rPr>
                <w:rFonts w:ascii="Times New Roman" w:hAnsi="Times New Roman"/>
                <w:sz w:val="20"/>
              </w:rPr>
              <w:t>Weeks 1–2</w:t>
            </w:r>
          </w:p>
        </w:tc>
        <w:tc>
          <w:tcPr>
            <w:tcW w:w="2592" w:type="dxa"/>
          </w:tcPr>
          <w:p w14:paraId="536B7348" w14:textId="77777777" w:rsidR="00D42293" w:rsidRDefault="00000000">
            <w:r>
              <w:rPr>
                <w:rFonts w:ascii="Times New Roman" w:hAnsi="Times New Roman"/>
                <w:sz w:val="20"/>
              </w:rPr>
              <w:t>WP1: Data Ingestion</w:t>
            </w:r>
          </w:p>
        </w:tc>
        <w:tc>
          <w:tcPr>
            <w:tcW w:w="3600" w:type="dxa"/>
          </w:tcPr>
          <w:p w14:paraId="5C326C58" w14:textId="77777777" w:rsidR="00D42293" w:rsidRDefault="00000000">
            <w:r>
              <w:rPr>
                <w:rFonts w:ascii="Times New Roman" w:hAnsi="Times New Roman"/>
                <w:sz w:val="20"/>
              </w:rPr>
              <w:t>Copernicus API integration, Synchronicity Gate, rate-limit mitigation</w:t>
            </w:r>
          </w:p>
        </w:tc>
        <w:tc>
          <w:tcPr>
            <w:tcW w:w="2592" w:type="dxa"/>
          </w:tcPr>
          <w:p w14:paraId="157347FC" w14:textId="77F313E4" w:rsidR="00D42293" w:rsidRDefault="00000000">
            <w:r>
              <w:rPr>
                <w:rFonts w:ascii="Times New Roman" w:hAnsi="Times New Roman"/>
                <w:sz w:val="20"/>
              </w:rPr>
              <w:t xml:space="preserve">Completed: </w:t>
            </w:r>
            <w:r w:rsidR="00D42C81">
              <w:rPr>
                <w:rFonts w:ascii="Times New Roman" w:hAnsi="Times New Roman"/>
                <w:sz w:val="20"/>
              </w:rPr>
              <w:t>68</w:t>
            </w:r>
            <w:r>
              <w:rPr>
                <w:rFonts w:ascii="Times New Roman" w:hAnsi="Times New Roman"/>
                <w:sz w:val="20"/>
              </w:rPr>
              <w:t>-month multi-sensor corpus</w:t>
            </w:r>
          </w:p>
        </w:tc>
      </w:tr>
      <w:tr w:rsidR="00D42293" w14:paraId="5525AA3E" w14:textId="77777777">
        <w:trPr>
          <w:jc w:val="center"/>
        </w:trPr>
        <w:tc>
          <w:tcPr>
            <w:tcW w:w="1728" w:type="dxa"/>
          </w:tcPr>
          <w:p w14:paraId="664B2E3A" w14:textId="77777777" w:rsidR="00D42293" w:rsidRDefault="00000000">
            <w:pPr>
              <w:jc w:val="center"/>
            </w:pPr>
            <w:r>
              <w:rPr>
                <w:rFonts w:ascii="Times New Roman" w:hAnsi="Times New Roman"/>
                <w:sz w:val="20"/>
              </w:rPr>
              <w:t>Weeks 3–4</w:t>
            </w:r>
          </w:p>
        </w:tc>
        <w:tc>
          <w:tcPr>
            <w:tcW w:w="2592" w:type="dxa"/>
          </w:tcPr>
          <w:p w14:paraId="6D396686" w14:textId="77777777" w:rsidR="00D42293" w:rsidRDefault="00000000">
            <w:r>
              <w:rPr>
                <w:rFonts w:ascii="Times New Roman" w:hAnsi="Times New Roman"/>
                <w:sz w:val="20"/>
              </w:rPr>
              <w:t>WP2: Pixel Classification</w:t>
            </w:r>
          </w:p>
        </w:tc>
        <w:tc>
          <w:tcPr>
            <w:tcW w:w="3600" w:type="dxa"/>
          </w:tcPr>
          <w:p w14:paraId="4E1F1266" w14:textId="77777777" w:rsidR="00D42293" w:rsidRDefault="00000000">
            <w:r>
              <w:rPr>
                <w:rFonts w:ascii="Times New Roman" w:hAnsi="Times New Roman"/>
                <w:sz w:val="20"/>
              </w:rPr>
              <w:t>Class balancing (RandomUnderSampler) and Deep ANN training</w:t>
            </w:r>
          </w:p>
        </w:tc>
        <w:tc>
          <w:tcPr>
            <w:tcW w:w="2592" w:type="dxa"/>
          </w:tcPr>
          <w:p w14:paraId="1911A64D" w14:textId="77777777" w:rsidR="00D42293" w:rsidRDefault="00000000">
            <w:r>
              <w:rPr>
                <w:rFonts w:ascii="Times New Roman" w:hAnsi="Times New Roman"/>
                <w:sz w:val="20"/>
              </w:rPr>
              <w:t>Completed: 99.95% accuracy pixel mask</w:t>
            </w:r>
          </w:p>
        </w:tc>
      </w:tr>
      <w:tr w:rsidR="00D42293" w14:paraId="7ADDED2A" w14:textId="77777777">
        <w:trPr>
          <w:jc w:val="center"/>
        </w:trPr>
        <w:tc>
          <w:tcPr>
            <w:tcW w:w="1728" w:type="dxa"/>
          </w:tcPr>
          <w:p w14:paraId="2100F74C" w14:textId="77777777" w:rsidR="00D42293" w:rsidRDefault="00000000">
            <w:pPr>
              <w:jc w:val="center"/>
            </w:pPr>
            <w:r>
              <w:rPr>
                <w:rFonts w:ascii="Times New Roman" w:hAnsi="Times New Roman"/>
                <w:sz w:val="20"/>
              </w:rPr>
              <w:t>Weeks 5–6</w:t>
            </w:r>
          </w:p>
        </w:tc>
        <w:tc>
          <w:tcPr>
            <w:tcW w:w="2592" w:type="dxa"/>
          </w:tcPr>
          <w:p w14:paraId="3D1BF23B" w14:textId="77777777" w:rsidR="00D42293" w:rsidRDefault="00000000">
            <w:r>
              <w:rPr>
                <w:rFonts w:ascii="Times New Roman" w:hAnsi="Times New Roman"/>
                <w:sz w:val="20"/>
              </w:rPr>
              <w:t>WP3: Neural Imputation</w:t>
            </w:r>
          </w:p>
        </w:tc>
        <w:tc>
          <w:tcPr>
            <w:tcW w:w="3600" w:type="dxa"/>
          </w:tcPr>
          <w:p w14:paraId="7428902E" w14:textId="77777777" w:rsidR="00D42293" w:rsidRDefault="00000000">
            <w:r>
              <w:rPr>
                <w:rFonts w:ascii="Times New Roman" w:hAnsi="Times New Roman"/>
                <w:sz w:val="20"/>
              </w:rPr>
              <w:t>Sundarbans GEDI transfer learning and UAE fine-tuning</w:t>
            </w:r>
          </w:p>
        </w:tc>
        <w:tc>
          <w:tcPr>
            <w:tcW w:w="2592" w:type="dxa"/>
          </w:tcPr>
          <w:p w14:paraId="5330313E" w14:textId="77777777" w:rsidR="00D42293" w:rsidRDefault="00000000">
            <w:r>
              <w:rPr>
                <w:rFonts w:ascii="Times New Roman" w:hAnsi="Times New Roman"/>
                <w:sz w:val="20"/>
              </w:rPr>
              <w:t>Completed: rh100 MSE 9.81 imputation</w:t>
            </w:r>
          </w:p>
        </w:tc>
      </w:tr>
      <w:tr w:rsidR="00D42293" w14:paraId="748A717C" w14:textId="77777777">
        <w:trPr>
          <w:jc w:val="center"/>
        </w:trPr>
        <w:tc>
          <w:tcPr>
            <w:tcW w:w="1728" w:type="dxa"/>
          </w:tcPr>
          <w:p w14:paraId="2EE055B3" w14:textId="77777777" w:rsidR="00D42293" w:rsidRDefault="00000000">
            <w:pPr>
              <w:jc w:val="center"/>
            </w:pPr>
            <w:r>
              <w:rPr>
                <w:rFonts w:ascii="Times New Roman" w:hAnsi="Times New Roman"/>
                <w:sz w:val="20"/>
              </w:rPr>
              <w:t>Weeks 7–8</w:t>
            </w:r>
          </w:p>
        </w:tc>
        <w:tc>
          <w:tcPr>
            <w:tcW w:w="2592" w:type="dxa"/>
          </w:tcPr>
          <w:p w14:paraId="6F448E2A" w14:textId="77777777" w:rsidR="00D42293" w:rsidRDefault="00000000">
            <w:r>
              <w:rPr>
                <w:rFonts w:ascii="Times New Roman" w:hAnsi="Times New Roman"/>
                <w:sz w:val="20"/>
              </w:rPr>
              <w:t>WP4: Graph Topology</w:t>
            </w:r>
          </w:p>
        </w:tc>
        <w:tc>
          <w:tcPr>
            <w:tcW w:w="3600" w:type="dxa"/>
          </w:tcPr>
          <w:p w14:paraId="340ECECE" w14:textId="77777777" w:rsidR="00D42293" w:rsidRDefault="00000000">
            <w:r>
              <w:rPr>
                <w:rFonts w:ascii="Times New Roman" w:hAnsi="Times New Roman"/>
                <w:sz w:val="20"/>
              </w:rPr>
              <w:t>DBSCAN clustering (53 patches) and tidal edge construction</w:t>
            </w:r>
          </w:p>
        </w:tc>
        <w:tc>
          <w:tcPr>
            <w:tcW w:w="2592" w:type="dxa"/>
          </w:tcPr>
          <w:p w14:paraId="37207DE4" w14:textId="77777777" w:rsidR="00D42293" w:rsidRDefault="00000000">
            <w:r>
              <w:rPr>
                <w:rFonts w:ascii="Times New Roman" w:hAnsi="Times New Roman"/>
                <w:sz w:val="20"/>
              </w:rPr>
              <w:t>Completed: 53-node, 86-edge directed graph</w:t>
            </w:r>
          </w:p>
        </w:tc>
      </w:tr>
      <w:tr w:rsidR="00D42293" w14:paraId="3D391EA3" w14:textId="77777777">
        <w:trPr>
          <w:jc w:val="center"/>
        </w:trPr>
        <w:tc>
          <w:tcPr>
            <w:tcW w:w="1728" w:type="dxa"/>
          </w:tcPr>
          <w:p w14:paraId="7E30A432" w14:textId="77777777" w:rsidR="00D42293" w:rsidRDefault="00000000">
            <w:pPr>
              <w:jc w:val="center"/>
            </w:pPr>
            <w:r>
              <w:rPr>
                <w:rFonts w:ascii="Times New Roman" w:hAnsi="Times New Roman"/>
                <w:sz w:val="20"/>
              </w:rPr>
              <w:t>Weeks 9–10</w:t>
            </w:r>
          </w:p>
        </w:tc>
        <w:tc>
          <w:tcPr>
            <w:tcW w:w="2592" w:type="dxa"/>
          </w:tcPr>
          <w:p w14:paraId="2B17FFA3" w14:textId="77777777" w:rsidR="00D42293" w:rsidRDefault="00000000">
            <w:r>
              <w:rPr>
                <w:rFonts w:ascii="Times New Roman" w:hAnsi="Times New Roman"/>
                <w:sz w:val="20"/>
              </w:rPr>
              <w:t>WP5: ST-GNN Modeling</w:t>
            </w:r>
          </w:p>
        </w:tc>
        <w:tc>
          <w:tcPr>
            <w:tcW w:w="3600" w:type="dxa"/>
          </w:tcPr>
          <w:p w14:paraId="52B6D23A" w14:textId="77777777" w:rsidR="00D42293" w:rsidRDefault="00000000">
            <w:r>
              <w:rPr>
                <w:rFonts w:ascii="Times New Roman" w:hAnsi="Times New Roman"/>
                <w:sz w:val="20"/>
              </w:rPr>
              <w:t>Autoregressive model training and ablation benchmarking</w:t>
            </w:r>
          </w:p>
        </w:tc>
        <w:tc>
          <w:tcPr>
            <w:tcW w:w="2592" w:type="dxa"/>
          </w:tcPr>
          <w:p w14:paraId="4AABD5E2" w14:textId="77777777" w:rsidR="00D42293" w:rsidRDefault="00000000">
            <w:r>
              <w:rPr>
                <w:rFonts w:ascii="Times New Roman" w:hAnsi="Times New Roman"/>
                <w:sz w:val="20"/>
              </w:rPr>
              <w:t>Completed: RMSE 0.0874 forecasting engine</w:t>
            </w:r>
          </w:p>
        </w:tc>
      </w:tr>
      <w:tr w:rsidR="00D42293" w14:paraId="1CB2E516" w14:textId="77777777">
        <w:trPr>
          <w:jc w:val="center"/>
        </w:trPr>
        <w:tc>
          <w:tcPr>
            <w:tcW w:w="1728" w:type="dxa"/>
          </w:tcPr>
          <w:p w14:paraId="53591D65" w14:textId="77777777" w:rsidR="00D42293" w:rsidRDefault="00000000">
            <w:pPr>
              <w:jc w:val="center"/>
            </w:pPr>
            <w:r>
              <w:rPr>
                <w:rFonts w:ascii="Times New Roman" w:hAnsi="Times New Roman"/>
                <w:sz w:val="20"/>
              </w:rPr>
              <w:t>Weeks 11–12</w:t>
            </w:r>
          </w:p>
        </w:tc>
        <w:tc>
          <w:tcPr>
            <w:tcW w:w="2592" w:type="dxa"/>
          </w:tcPr>
          <w:p w14:paraId="1CC97ECA" w14:textId="77777777" w:rsidR="00D42293" w:rsidRDefault="00000000">
            <w:r>
              <w:rPr>
                <w:rFonts w:ascii="Times New Roman" w:hAnsi="Times New Roman"/>
                <w:sz w:val="20"/>
              </w:rPr>
              <w:t>WP6: XAI &amp; Compliance</w:t>
            </w:r>
          </w:p>
        </w:tc>
        <w:tc>
          <w:tcPr>
            <w:tcW w:w="3600" w:type="dxa"/>
          </w:tcPr>
          <w:p w14:paraId="7911CFB7" w14:textId="77777777" w:rsidR="00D42293" w:rsidRDefault="00000000">
            <w:r>
              <w:rPr>
                <w:rFonts w:ascii="Times New Roman" w:hAnsi="Times New Roman"/>
                <w:sz w:val="20"/>
              </w:rPr>
              <w:t>SHAP attribution integration and Genkit Gemini 2.5 auditing</w:t>
            </w:r>
          </w:p>
        </w:tc>
        <w:tc>
          <w:tcPr>
            <w:tcW w:w="2592" w:type="dxa"/>
          </w:tcPr>
          <w:p w14:paraId="3B5A927F" w14:textId="77777777" w:rsidR="00D42293" w:rsidRDefault="00000000">
            <w:r>
              <w:rPr>
                <w:rFonts w:ascii="Times New Roman" w:hAnsi="Times New Roman"/>
                <w:sz w:val="20"/>
              </w:rPr>
              <w:t>Completed: Interactive conversational XAI</w:t>
            </w:r>
          </w:p>
        </w:tc>
      </w:tr>
      <w:tr w:rsidR="00D42293" w14:paraId="2D77F80F" w14:textId="77777777">
        <w:trPr>
          <w:jc w:val="center"/>
        </w:trPr>
        <w:tc>
          <w:tcPr>
            <w:tcW w:w="1728" w:type="dxa"/>
          </w:tcPr>
          <w:p w14:paraId="160B3365" w14:textId="77777777" w:rsidR="00D42293" w:rsidRDefault="00000000">
            <w:pPr>
              <w:jc w:val="center"/>
            </w:pPr>
            <w:r>
              <w:rPr>
                <w:rFonts w:ascii="Times New Roman" w:hAnsi="Times New Roman"/>
                <w:sz w:val="20"/>
              </w:rPr>
              <w:t>Week 13</w:t>
            </w:r>
          </w:p>
        </w:tc>
        <w:tc>
          <w:tcPr>
            <w:tcW w:w="2592" w:type="dxa"/>
          </w:tcPr>
          <w:p w14:paraId="46BF5839" w14:textId="77777777" w:rsidR="00D42293" w:rsidRDefault="00000000">
            <w:r>
              <w:rPr>
                <w:rFonts w:ascii="Times New Roman" w:hAnsi="Times New Roman"/>
                <w:sz w:val="20"/>
              </w:rPr>
              <w:t>WP7: Platform Engineering</w:t>
            </w:r>
          </w:p>
        </w:tc>
        <w:tc>
          <w:tcPr>
            <w:tcW w:w="3600" w:type="dxa"/>
          </w:tcPr>
          <w:p w14:paraId="35A854D4" w14:textId="77777777" w:rsidR="00D42293" w:rsidRDefault="00000000">
            <w:r>
              <w:rPr>
                <w:rFonts w:ascii="Times New Roman" w:hAnsi="Times New Roman"/>
                <w:sz w:val="20"/>
              </w:rPr>
              <w:t>Full-stack Next.js 15 web app, Firestore sync, dual alert engine</w:t>
            </w:r>
          </w:p>
        </w:tc>
        <w:tc>
          <w:tcPr>
            <w:tcW w:w="2592" w:type="dxa"/>
          </w:tcPr>
          <w:p w14:paraId="15CB25DB" w14:textId="77777777" w:rsidR="00D42293" w:rsidRDefault="00000000">
            <w:r>
              <w:rPr>
                <w:rFonts w:ascii="Times New Roman" w:hAnsi="Times New Roman"/>
                <w:sz w:val="20"/>
              </w:rPr>
              <w:t>Completed: Production Coastal Sentinel web app</w:t>
            </w:r>
          </w:p>
        </w:tc>
      </w:tr>
      <w:tr w:rsidR="00D42293" w14:paraId="340345AF" w14:textId="77777777">
        <w:trPr>
          <w:jc w:val="center"/>
        </w:trPr>
        <w:tc>
          <w:tcPr>
            <w:tcW w:w="1728" w:type="dxa"/>
          </w:tcPr>
          <w:p w14:paraId="6E742572" w14:textId="77777777" w:rsidR="00D42293" w:rsidRDefault="00000000">
            <w:pPr>
              <w:jc w:val="center"/>
            </w:pPr>
            <w:r>
              <w:rPr>
                <w:rFonts w:ascii="Times New Roman" w:hAnsi="Times New Roman"/>
                <w:sz w:val="20"/>
              </w:rPr>
              <w:t>Week 14</w:t>
            </w:r>
          </w:p>
        </w:tc>
        <w:tc>
          <w:tcPr>
            <w:tcW w:w="2592" w:type="dxa"/>
          </w:tcPr>
          <w:p w14:paraId="78CD89FC" w14:textId="77777777" w:rsidR="00D42293" w:rsidRDefault="00000000">
            <w:r>
              <w:rPr>
                <w:rFonts w:ascii="Times New Roman" w:hAnsi="Times New Roman"/>
                <w:sz w:val="20"/>
              </w:rPr>
              <w:t>WP8: Final Dissertation</w:t>
            </w:r>
          </w:p>
        </w:tc>
        <w:tc>
          <w:tcPr>
            <w:tcW w:w="3600" w:type="dxa"/>
          </w:tcPr>
          <w:p w14:paraId="00338741" w14:textId="77777777" w:rsidR="00D42293" w:rsidRDefault="00000000">
            <w:r>
              <w:rPr>
                <w:rFonts w:ascii="Times New Roman" w:hAnsi="Times New Roman"/>
                <w:sz w:val="20"/>
              </w:rPr>
              <w:t>Master's thesis compilation, code packaging, viva defense preparation</w:t>
            </w:r>
          </w:p>
        </w:tc>
        <w:tc>
          <w:tcPr>
            <w:tcW w:w="2592" w:type="dxa"/>
          </w:tcPr>
          <w:p w14:paraId="53D88215" w14:textId="77777777" w:rsidR="00D42293" w:rsidRDefault="00000000">
            <w:r>
              <w:rPr>
                <w:rFonts w:ascii="Times New Roman" w:hAnsi="Times New Roman"/>
                <w:sz w:val="20"/>
              </w:rPr>
              <w:t>Completed: Final Submission Dossier</w:t>
            </w:r>
          </w:p>
        </w:tc>
      </w:tr>
    </w:tbl>
    <w:p w14:paraId="7C951B91" w14:textId="77777777" w:rsidR="00D42293" w:rsidRDefault="00D42293">
      <w:pPr>
        <w:spacing w:before="40" w:after="120"/>
      </w:pPr>
    </w:p>
    <w:sectPr w:rsidR="00D42293"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AA0CFA6"/>
    <w:lvl w:ilvl="0">
      <w:start w:val="1"/>
      <w:numFmt w:val="bullet"/>
      <w:pStyle w:val="ListBullet"/>
      <w:lvlText w:val=""/>
      <w:lvlJc w:val="left"/>
      <w:pPr>
        <w:tabs>
          <w:tab w:val="num" w:pos="360"/>
        </w:tabs>
        <w:ind w:left="360" w:hanging="360"/>
      </w:pPr>
      <w:rPr>
        <w:rFonts w:ascii="Symbol" w:hAnsi="Symbol" w:hint="default"/>
      </w:rPr>
    </w:lvl>
  </w:abstractNum>
  <w:num w:numId="1" w16cid:durableId="1338725590">
    <w:abstractNumId w:val="8"/>
  </w:num>
  <w:num w:numId="2" w16cid:durableId="1695425416">
    <w:abstractNumId w:val="6"/>
  </w:num>
  <w:num w:numId="3" w16cid:durableId="812718365">
    <w:abstractNumId w:val="5"/>
  </w:num>
  <w:num w:numId="4" w16cid:durableId="876118003">
    <w:abstractNumId w:val="4"/>
  </w:num>
  <w:num w:numId="5" w16cid:durableId="1487358339">
    <w:abstractNumId w:val="7"/>
  </w:num>
  <w:num w:numId="6" w16cid:durableId="768966211">
    <w:abstractNumId w:val="3"/>
  </w:num>
  <w:num w:numId="7" w16cid:durableId="973831171">
    <w:abstractNumId w:val="2"/>
  </w:num>
  <w:num w:numId="8" w16cid:durableId="1585529086">
    <w:abstractNumId w:val="1"/>
  </w:num>
  <w:num w:numId="9" w16cid:durableId="161293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46"/>
    <w:rsid w:val="00034616"/>
    <w:rsid w:val="00037B38"/>
    <w:rsid w:val="0006063C"/>
    <w:rsid w:val="00085065"/>
    <w:rsid w:val="00093EE3"/>
    <w:rsid w:val="000B042E"/>
    <w:rsid w:val="000B1B38"/>
    <w:rsid w:val="000D4FC0"/>
    <w:rsid w:val="000E76EB"/>
    <w:rsid w:val="001251D7"/>
    <w:rsid w:val="00134727"/>
    <w:rsid w:val="0015074B"/>
    <w:rsid w:val="001705E3"/>
    <w:rsid w:val="00181E8E"/>
    <w:rsid w:val="0019356A"/>
    <w:rsid w:val="001C2827"/>
    <w:rsid w:val="0029639D"/>
    <w:rsid w:val="002A6258"/>
    <w:rsid w:val="002B4650"/>
    <w:rsid w:val="00326F90"/>
    <w:rsid w:val="003707D1"/>
    <w:rsid w:val="003D6B7D"/>
    <w:rsid w:val="004B3926"/>
    <w:rsid w:val="004D0FE8"/>
    <w:rsid w:val="00502CE8"/>
    <w:rsid w:val="00533336"/>
    <w:rsid w:val="00553610"/>
    <w:rsid w:val="0057345E"/>
    <w:rsid w:val="005866F6"/>
    <w:rsid w:val="005D3C8F"/>
    <w:rsid w:val="005F3C8D"/>
    <w:rsid w:val="0060232A"/>
    <w:rsid w:val="00645499"/>
    <w:rsid w:val="006D2909"/>
    <w:rsid w:val="006F401F"/>
    <w:rsid w:val="00791DF5"/>
    <w:rsid w:val="007A372E"/>
    <w:rsid w:val="007E01B5"/>
    <w:rsid w:val="007F6FCD"/>
    <w:rsid w:val="00812674"/>
    <w:rsid w:val="008214F3"/>
    <w:rsid w:val="00852770"/>
    <w:rsid w:val="0089586E"/>
    <w:rsid w:val="009101FF"/>
    <w:rsid w:val="009379E2"/>
    <w:rsid w:val="00976F57"/>
    <w:rsid w:val="0098009C"/>
    <w:rsid w:val="009E61F2"/>
    <w:rsid w:val="009E679D"/>
    <w:rsid w:val="009F5237"/>
    <w:rsid w:val="00A76DAB"/>
    <w:rsid w:val="00A90D3E"/>
    <w:rsid w:val="00AA1D8D"/>
    <w:rsid w:val="00AD5256"/>
    <w:rsid w:val="00AE090D"/>
    <w:rsid w:val="00B47730"/>
    <w:rsid w:val="00B97489"/>
    <w:rsid w:val="00BB25AF"/>
    <w:rsid w:val="00BF5D49"/>
    <w:rsid w:val="00C14905"/>
    <w:rsid w:val="00C33475"/>
    <w:rsid w:val="00C7094A"/>
    <w:rsid w:val="00C752E7"/>
    <w:rsid w:val="00CB0664"/>
    <w:rsid w:val="00CD3C68"/>
    <w:rsid w:val="00CF27A4"/>
    <w:rsid w:val="00D42293"/>
    <w:rsid w:val="00D42C81"/>
    <w:rsid w:val="00E278F1"/>
    <w:rsid w:val="00E97CDA"/>
    <w:rsid w:val="00F165F2"/>
    <w:rsid w:val="00F50BA9"/>
    <w:rsid w:val="00FA0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E4917"/>
  <w14:defaultImageDpi w14:val="300"/>
  <w15:docId w15:val="{B215609E-7C23-4B30-9F23-6D4D658E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2E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2C81"/>
    <w:rPr>
      <w:color w:val="0000FF" w:themeColor="hyperlink"/>
      <w:u w:val="single"/>
    </w:rPr>
  </w:style>
  <w:style w:type="character" w:styleId="UnresolvedMention">
    <w:name w:val="Unresolved Mention"/>
    <w:basedOn w:val="DefaultParagraphFont"/>
    <w:uiPriority w:val="99"/>
    <w:semiHidden/>
    <w:unhideWhenUsed/>
    <w:rsid w:val="00D42C81"/>
    <w:rPr>
      <w:color w:val="605E5C"/>
      <w:shd w:val="clear" w:color="auto" w:fill="E1DFDD"/>
    </w:rPr>
  </w:style>
  <w:style w:type="paragraph" w:styleId="NormalWeb">
    <w:name w:val="Normal (Web)"/>
    <w:basedOn w:val="Normal"/>
    <w:uiPriority w:val="99"/>
    <w:semiHidden/>
    <w:unhideWhenUsed/>
    <w:rsid w:val="00E97CDA"/>
    <w:rPr>
      <w:rFonts w:ascii="Times New Roman" w:hAnsi="Times New Roman" w:cs="Times New Roman"/>
      <w:sz w:val="24"/>
      <w:szCs w:val="24"/>
    </w:rPr>
  </w:style>
  <w:style w:type="character" w:styleId="PlaceholderText">
    <w:name w:val="Placeholder Text"/>
    <w:basedOn w:val="DefaultParagraphFont"/>
    <w:uiPriority w:val="99"/>
    <w:semiHidden/>
    <w:rsid w:val="00C334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77</Pages>
  <Words>22265</Words>
  <Characters>126912</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Gandikota Narendra</cp:lastModifiedBy>
  <cp:revision>53</cp:revision>
  <dcterms:created xsi:type="dcterms:W3CDTF">2013-12-23T23:15:00Z</dcterms:created>
  <dcterms:modified xsi:type="dcterms:W3CDTF">2026-09-19T13:26:00Z</dcterms:modified>
  <cp:category/>
</cp:coreProperties>
</file>