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ARIMA模型要求序列满足平稳性，查看ADF检验结果，根据分析t值，分析其是否可以显著性地拒绝序列不平稳的假设（p&lt;0.05或0.01）；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2.
查看差分前后数据对比图，判断是否平稳（上下波动幅度不大），同时对时间序列进行偏（自相关分析），根据截尾情况估算其p、q值；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3.
ARIMA模型要求模型具备纯随机性，即模型残差为白噪声，查看模型检验表，根据Q统计量的p值（p值大于0.01为白噪声，严格则需大于0.05）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时间序列分析ARIMA分析结果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平均价格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-6.479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622.83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-3.49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-2.581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该模型要求序列必须是平稳的时间序列数据。通过分析t值，分析其是否可以显著地拒绝序列不平稳的原假设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若呈现显著性（p&lt;0.05或0.01），则说明拒绝原假设，该序列为一个平稳的时间序列，反之则说明该序列为一个不平稳的时间序列；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临界值1%、5%、10%不同程度拒绝原假设的统计值和ADF Test result的比较，ADF Test result同时小于1%、5%、10%即说明非常好地拒绝该假设；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差分阶数：本质上就是下一个数值 ，减去上一个数值，主要是消除一些波动使数据趋于平稳，非平稳序列可通过差分变换转化为平稳序列；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AIC值：衡量统计模型拟合优良性的一种标准，数值越小越好；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临界值：临界值是对应于一个给定的显着性水平的固定值。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该序列检验的结果显示，基于字段平均价格:</w:t>
      </w:r>
      <w:r>
        <w:rPr>
          <w:b w:val="false"/>
          <w:bCs w:val="false"/>
          <w:color w:val="000000"/>
          <w:sz w:val="21"/>
          <w:szCs w:val="21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21"/>
          <w:szCs w:val="21"/>
        </w:rPr>
        <w:br/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输出结果2：最佳差分序列图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平均价格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上图展示了原始数据2阶差分后的时序图。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输出结果3：最终差分数据自相关图（ACF）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上图展示了自相关图（ACF），包括系数，置信上限和置信下限。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横轴代表延迟数目，纵轴代表自相关系数；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自相关（ACF）图在q阶进行截尾，偏自相关（PACF）图拖尾，ARMA模型可简化为MA（q）模型；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倘若自相关与偏自相关图均拖尾，可结合PACF、ACF图中最显著的阶数(最小值)作为p、q值；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倘若自相关与偏自相关图均截尾，可以选择更换更高的差分，或则不适合建立ARMA模型；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截尾是在置信区间内，ACF或PACF在某阶后就恒等于零(或在0附近随机波动)；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输出结果4：最终差分数据偏自相关图（PACF）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上图展示了偏自相关图（PACF），包括系数，置信上限和置信下限。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偏自相关（PACF）图在p阶进行截尾，自相关（ACF）图拖尾，ARMA模型可简化为AR（p）模型；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倘若自相关与偏自相关图均拖尾，可结合PACF、ACF图中最显著的阶数(最小值)作为p、q值；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倘若自相关与偏自相关图均截尾，可以选择更换更高的差分，或则不适合建立ARMA模型；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截尾是在置信区间内，ACF或PACF在某阶后就恒等于零(或在0附近随机波动)；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ARIMA模型（1,2,1）检验表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125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0.052(0.820)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8.684(0.192)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12.107(0.437)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20.715(0.294)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23.857(0.470)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688.923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700.171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0.792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上表格展示本次模型检验结果,包括样本数、自由度、Q统计量和信息准则模型的拟合优度。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arima模型要求模型的残差不存在自相关性，即模型残差为白噪声，查看模型检验表，根据Q统计量的p值（p值大于0.1为白噪声）对模型白噪声进行检验；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根据信息准则AIC和BIC值用于多次分析模型对比（越低越好）；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R²代表时间序列的拟合程度，越接近1效果越好。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根据模型ARIMA模型（1,2,1）检验表，基于字段：平均价格，从Q统计量结果分析可以得到：Q6在水平上不呈现显著性，不能拒绝模型的残差为白噪声序列的假设，同时模型的拟合优度R2为0.792，模型表现较为良好，模型基本满足要求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输出结果6：模型残差自相关图（ACF）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上图展示了模型的残差自相关图（ACF），包括系数，置信上限和置信下限。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横轴代表延迟数目，纵轴代表自相关系数；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若相关系数均在虚线内，自回归模型（AR）残差为白噪声序列，时间序列要求模型残差为白噪声序列。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输出结果7：模型残差偏自相关图（PACF）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上图展示了模型的残差偏自相关图（PACF），包括系数，置信上限和置信下限。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若相关系数均在虚线内，滑动平均模型（MA）残差为白噪声序列，时间序列要求模型残差为白噪声序列。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-0.028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ar.L1.D2.平均价格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-0.171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ma.L1.D2.平均价格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-46.768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-1.042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-0.958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上表格展示本次模型参数结果,包括模型的系数、标准差，T检验结果等，用于分析模型公式。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基于字段平均价格，根据模型ARIMA模型（1,2,1）检验表且基于2差分数据，模型公式如下：</w:t>
      </w:r>
      <w:r>
        <w:rPr>
          <w:b w:val="false"/>
          <w:bCs w:val="false"/>
          <w:color w:val="000000"/>
          <w:sz w:val="21"/>
          <w:szCs w:val="21"/>
        </w:rPr>
        <w:br/>
        <w:t xml:space="preserve">y(t)=-0.01+0.009*y(t-1)-1.0*ε(t-1)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上图表示了该时间序列模型的原始数据图、模型拟合值、模型预测值。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91.362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90.688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90.003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89.309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88.606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87.892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87.169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86.436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85.694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84.942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84.18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83.408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82.627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81.836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81.036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80.226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79.406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78.576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77.737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76.888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76.029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75.161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74.283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73.395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72.498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71.591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70.674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69.748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68.812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67.866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上表显示了时间序列模型最近30期数据预测情况。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e1hzjymcyj7scyzm9htlu.png"/><Relationship Id="rId6" Type="http://schemas.openxmlformats.org/officeDocument/2006/relationships/image" Target="media/fi0mfqbdodrkkdhbju0md.png"/><Relationship Id="rId7" Type="http://schemas.openxmlformats.org/officeDocument/2006/relationships/image" Target="media/fwjbveirfxgiuamxap8je.png"/><Relationship Id="rId8" Type="http://schemas.openxmlformats.org/officeDocument/2006/relationships/image" Target="media/wqnyurwqvl7bqlhltx6pk.png"/><Relationship Id="rId9" Type="http://schemas.openxmlformats.org/officeDocument/2006/relationships/image" Target="media/mh3egyrnvgctzlqbvm1k5.png"/><Relationship Id="rId10" Type="http://schemas.openxmlformats.org/officeDocument/2006/relationships/image" Target="media/ds3tjltilajbb5lhq27b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2022-08-07T02:25:14.817Z</dcterms:created>
  <dcterms:modified xsi:type="dcterms:W3CDTF">2022-08-07T02:25:14.817Z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