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jc w:val="left"/>
      </w:pPr>
      <w:r>
        <w:t xml:space="preserve">分析步骤</w:t>
      </w:r>
      <w:r>
        <w:rPr>
          <w:b w:val="false"/>
          <w:bCs w:val="false"/>
          <w:color w:val="000000"/>
          <w:sz w:val="18"/>
          <w:szCs w:val="18"/>
        </w:rPr>
        <w:br/>
        <w:br/>
        <w:t xml:space="preserve">1. 通过分析F值，分析其是否可以显著地拒绝总体回归系数为0的原假设（p&lt;0.01或者0.05），若呈显著性，表明之间存在着线性关系，至于线性关系的强弱，需要进一步进行分析；
2. 通过R²值分析模型拟合情况，同时对VIF值进行分析，若模型呈现共线性（VIF大于10或者5，严格为10），建议使用岭回归或者逐步回归；
3. 分析X的显著性；如果呈现出显著性（p值小于0.05，严格则需小于0.01）；用于探究X对Y的影响关系；
4. 结合回归系数B值，对比分析X对Y的影响程度；
5. 确定得到模型公式。
Tips：使用线性回归前可以通过统计类的方法例如正态性检验等方式对数据进行验证清洗，也可以采用数据处理中异常值处理等方法对数据进行清洗。</w:t>
      </w:r>
    </w:p>
    <w:p>
      <w:pPr>
        <w:pStyle w:val="Heading3"/>
        <w:widowControl/>
      </w:pPr>
      <w:r>
        <w:t xml:space="preserve">线性回归分析结果</w:t>
      </w:r>
    </w:p>
    <w:p>
      <w:pPr>
        <w:widowControl/>
        <w:spacing w:after="0" w:before="0"/>
        <w:ind w:left="720" w:right="720"/>
        <w:jc w:val="left"/>
      </w:pPr>
      <w:r>
        <w:rPr>
          <w:b/>
          <w:bCs/>
          <w:color w:val="000000"/>
          <w:sz w:val="22"/>
          <w:szCs w:val="22"/>
        </w:rPr>
        <w:br/>
        <w:t xml:space="preserve">输出结果1：线性回归分析结果表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gridCol w:w="100"/>
      </w:tblGrid>
      <w:tr>
        <w:tc>
          <w:tcPr>
            <w:gridSpan w:val="10"/>
            <w:tcBorders>
              <w:top w:val="single" w:color="000000" w:sz="10"/>
              <w:left w:val="none"/>
              <w:bottom w:val="none" w:color="000000" w:sz="10"/>
              <w:right w:val="none"/>
            </w:tcBorders>
            <w:vAlign w:val="center"/>
          </w:tcPr>
          <w:p>
            <w:pPr>
              <w:pBdr>
                <w:left w:val="none"/>
                <w:right w:val="none"/>
              </w:pBdr>
              <w:jc w:val="center"/>
            </w:pPr>
            <w:r>
              <w:t xml:space="preserve">线性回归分析结果 n=27</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p>
        </w:tc>
        <w:tc>
          <w:tcPr>
            <w:gridSpan w:val="2"/>
            <w:tcBorders>
              <w:top w:val="none" w:color="000000" w:sz="10"/>
              <w:left w:val="none"/>
              <w:bottom w:val="none" w:color="000000" w:sz="10"/>
              <w:right w:val="none"/>
            </w:tcBorders>
            <w:vAlign w:val="center"/>
          </w:tcPr>
          <w:p>
            <w:pPr>
              <w:pBdr>
                <w:left w:val="none"/>
                <w:right w:val="none"/>
              </w:pBdr>
              <w:jc w:val="center"/>
            </w:pPr>
            <w:r>
              <w:t xml:space="preserve">非标准化系数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标准化系数</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t xml:space="preserve">t</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t xml:space="preserve">p</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t xml:space="preserve">VIF</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t xml:space="preserve">R²</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t xml:space="preserve">调整R²</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t xml:space="preserve">F</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B</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标准误</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Beta</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r>
        <w:tc>
          <w:tcPr>
            <w:gridSpan w:val="1"/>
            <w:tcBorders>
              <w:top w:val="singl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71.797</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0.955</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75.187</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0.000***</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w:t>
            </w:r>
          </w:p>
        </w:tc>
        <w:tc>
          <w:tcPr>
            <w:gridSpan w:val="1"/>
            <w:vMerge w:val="restart"/>
            <w:tcBorders>
              <w:top w:val="single" w:color="000000" w:sz="10"/>
              <w:left w:val="none"/>
              <w:bottom w:val="none" w:color="000000" w:sz="10"/>
              <w:right w:val="none"/>
            </w:tcBorders>
            <w:vAlign w:val="center"/>
          </w:tcPr>
          <w:p>
            <w:pPr>
              <w:pBdr>
                <w:left w:val="none"/>
                <w:right w:val="none"/>
              </w:pBdr>
              <w:jc w:val="center"/>
            </w:pPr>
            <w:r>
              <w:t xml:space="preserve">0.182</w:t>
            </w:r>
          </w:p>
        </w:tc>
        <w:tc>
          <w:tcPr>
            <w:gridSpan w:val="1"/>
            <w:vMerge w:val="restart"/>
            <w:tcBorders>
              <w:top w:val="single" w:color="000000" w:sz="10"/>
              <w:left w:val="none"/>
              <w:bottom w:val="none" w:color="000000" w:sz="10"/>
              <w:right w:val="none"/>
            </w:tcBorders>
            <w:vAlign w:val="center"/>
          </w:tcPr>
          <w:p>
            <w:pPr>
              <w:pBdr>
                <w:left w:val="none"/>
                <w:right w:val="none"/>
              </w:pBdr>
              <w:jc w:val="center"/>
            </w:pPr>
            <w:r>
              <w:t xml:space="preserve">0.114</w:t>
            </w:r>
          </w:p>
        </w:tc>
        <w:tc>
          <w:tcPr>
            <w:gridSpan w:val="1"/>
            <w:vMerge w:val="restart"/>
            <w:tcBorders>
              <w:top w:val="single" w:color="000000" w:sz="10"/>
              <w:left w:val="none"/>
              <w:bottom w:val="none" w:color="000000" w:sz="10"/>
              <w:right w:val="none"/>
            </w:tcBorders>
            <w:vAlign w:val="center"/>
          </w:tcPr>
          <w:p>
            <w:pPr>
              <w:pBdr>
                <w:left w:val="none"/>
                <w:right w:val="none"/>
              </w:pBdr>
              <w:jc w:val="center"/>
            </w:pPr>
            <w:r>
              <w:t xml:space="preserve">F=2.673 P=0.090*</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酿酒葡萄</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0.227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-0.386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1.352</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葡萄酒</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0.928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0.428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0.465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2.166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1.352</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0"/>
            <w:tcBorders>
              <w:top w:val="none" w:color="000000" w:sz="10"/>
              <w:left w:val="none"/>
              <w:bottom w:val="single" w:color="000000" w:sz="10"/>
              <w:right w:val="none"/>
            </w:tcBorders>
            <w:vAlign w:val="center"/>
          </w:tcPr>
          <w:p>
            <w:pPr>
              <w:pBdr>
                <w:left w:val="none"/>
                <w:right w:val="none"/>
              </w:pBdr>
              <w:jc w:val="center"/>
            </w:pPr>
            <w:r>
              <w:t xml:space="preserve">因变量：质量评估</w:t>
            </w:r>
          </w:p>
        </w:tc>
      </w:tr>
      <w:tr>
        <w:tc>
          <w:tcPr>
            <w:gridSpan w:val="10"/>
            <w:tcBorders>
              <w:top w:val="none" w:color="000000" w:sz="10"/>
              <w:left w:val="none"/>
              <w:bottom w:val="none" w:color="000000" w:sz="10"/>
              <w:right w:val="none"/>
            </w:tcBorders>
            <w:vAlign w:val="center"/>
          </w:tcPr>
          <w:p>
            <w:pPr>
              <w:pBdr>
                <w:left w:val="none"/>
                <w:right w:val="none"/>
              </w:pBdr>
              <w:jc w:val="left"/>
            </w:pPr>
            <w:r>
              <w:t xml:space="preserve">注：***、**、*分别代表1%、5%、10%的显著性水平</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上表格展示了本次模型的分析结果，包括模型的标准化系数、t值、VIF值、R²、调整R²等，用于模型的检验，并分析模型的公式。</w:t>
      </w:r>
      <w:r>
        <w:rPr>
          <w:b w:val="false"/>
          <w:bCs w:val="false"/>
          <w:color w:val="000000"/>
          <w:sz w:val="21"/>
          <w:szCs w:val="21"/>
        </w:rPr>
        <w:br/>
        <w:t xml:space="preserve">1. 线性回归模型要求总体回归系数不为0，即变量之间存在回归关系。根据F检验结果对模型进行检验；</w:t>
      </w:r>
      <w:r>
        <w:rPr>
          <w:b w:val="false"/>
          <w:bCs w:val="false"/>
          <w:color w:val="000000"/>
          <w:sz w:val="21"/>
          <w:szCs w:val="21"/>
        </w:rPr>
        <w:br/>
        <w:t xml:space="preserve">2. R²代表曲线回归的拟合程度，越接近1效果越好；</w:t>
      </w:r>
      <w:r>
        <w:rPr>
          <w:b w:val="false"/>
          <w:bCs w:val="false"/>
          <w:color w:val="000000"/>
          <w:sz w:val="21"/>
          <w:szCs w:val="21"/>
        </w:rPr>
        <w:br/>
        <w:t xml:space="preserve">3. VIF值代表多重共线性严重程度，用于检验模型是否呈现共线性，即解释变量间存在高度相关的关系（VIF应小于10或者5，严格为5）若VIF出现inf，则说明VIF值无穷大，建议检查共线性，或者使用岭回归；</w:t>
      </w:r>
      <w:r>
        <w:rPr>
          <w:b w:val="false"/>
          <w:bCs w:val="false"/>
          <w:color w:val="000000"/>
          <w:sz w:val="21"/>
          <w:szCs w:val="21"/>
        </w:rPr>
        <w:br/>
        <w:t xml:space="preserve">4. B是有常数情况下的的系数；</w:t>
      </w:r>
      <w:r>
        <w:rPr>
          <w:b w:val="false"/>
          <w:bCs w:val="false"/>
          <w:color w:val="000000"/>
          <w:sz w:val="21"/>
          <w:szCs w:val="21"/>
        </w:rPr>
        <w:br/>
        <w:t xml:space="preserve">5. 标准误=B/t值；</w:t>
      </w:r>
      <w:r>
        <w:rPr>
          <w:b w:val="false"/>
          <w:bCs w:val="false"/>
          <w:color w:val="000000"/>
          <w:sz w:val="21"/>
          <w:szCs w:val="21"/>
        </w:rPr>
        <w:br/>
        <w:t xml:space="preserve">6. 标准化系数是将数据标准化后得到的系数；</w:t>
      </w:r>
      <w:r>
        <w:rPr>
          <w:b w:val="false"/>
          <w:bCs w:val="false"/>
          <w:color w:val="000000"/>
          <w:sz w:val="21"/>
          <w:szCs w:val="21"/>
        </w:rPr>
        <w:br/>
        <w:t xml:space="preserve">7. VIF是共线性；</w:t>
      </w:r>
      <w:r>
        <w:rPr>
          <w:b w:val="false"/>
          <w:bCs w:val="false"/>
          <w:color w:val="000000"/>
          <w:sz w:val="21"/>
          <w:szCs w:val="21"/>
        </w:rPr>
        <w:br/>
        <w:t xml:space="preserve">8. F(df1,df2)是df1等于自变量数量；df2等于样本量-(自变量数量+1)。</w:t>
      </w:r>
      <w:r>
        <w:rPr>
          <w:b w:val="false"/>
          <w:bCs w:val="false"/>
          <w:color w:val="000000"/>
          <w:sz w:val="21"/>
          <w:szCs w:val="21"/>
        </w:rPr>
        <w:br/>
        <w:t xml:space="preserve">9. F检验是为了判断是否存在显著的线性关系，R方是为了判断回归直线与此线性模型拟合的优劣。在线性回归中主要关注F检验是否通过，而在某些情况下，R方大小和模型解释度没有必然关系。</w:t>
      </w:r>
      <w:r>
        <w:rPr>
          <w:b w:val="false"/>
          <w:bCs w:val="false"/>
          <w:color w:val="000000"/>
          <w:sz w:val="21"/>
          <w:szCs w:val="21"/>
        </w:rPr>
        <w:br/>
        <w:t xml:space="preserve">注: 对于分类型自变量，spsspro会对其做哑变量处理，它是将具有n分类水平的变量转化成（n-1)个哑变量。举一个例子，假设变量“上班交通工具”的取值分别为：公交、地铁、私家车、自行车、电动车，5种选项，我们可以转化4个哑变量来代替“交通工具”这个变量，分别为D1（1=公交/0=非公交）、D2(1=地铁/0=非地铁)、D3（1=私家车/0=非私家车）、D4(1=自行车/0=非自行车)，最后一个选项“电动车”的信息已经包含在这4个变量中了，即当（非公交、非地铁、非私家车、非自行车）的情况，那么只可能是电动车，所以不需要再增加一个D5（1=电动车/0=非电动车）了。</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从F检验的结果分析可以得到，显著性P值为0.090*，水平上不呈现显著性, 不能拒绝回归系数为0的原假设, 模型无效。 对于变量共线性表现，VIF全部小于10，因此模型没有多重共线性问题, 模型构建良好 模型的公式如下:y=71.797+(-0.408)*酿酒葡萄+0.928*葡萄酒</w:t>
      </w:r>
    </w:p>
    <w:p>
      <w:pPr>
        <w:widowControl/>
        <w:spacing w:after="0" w:before="0"/>
        <w:ind w:left="720" w:right="720"/>
        <w:jc w:val="left"/>
      </w:pPr>
      <w:r>
        <w:rPr>
          <w:b/>
          <w:bCs/>
          <w:color w:val="000000"/>
          <w:sz w:val="22"/>
          <w:szCs w:val="22"/>
        </w:rPr>
        <w:br/>
        <w:t xml:space="preserve">输出结果2：拟合效果图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上图展示了本次模型的原始数据图、模型拟合值、模型预测值。</w:t>
      </w:r>
    </w:p>
    <w:p>
      <w:pPr>
        <w:widowControl/>
        <w:spacing w:after="0" w:before="0"/>
        <w:ind w:left="720" w:right="720"/>
        <w:jc w:val="left"/>
      </w:pPr>
      <w:r>
        <w:rPr>
          <w:b/>
          <w:bCs/>
          <w:color w:val="000000"/>
          <w:sz w:val="22"/>
          <w:szCs w:val="22"/>
        </w:rPr>
        <w:br/>
        <w:t xml:space="preserve">输出结果3：模型路径图</w:t>
      </w:r>
    </w:p>
    <w:p>
      <w:pPr>
        <w:spacing w:after="500"/>
        <w:jc w:val="center"/>
      </w:pPr>
      <w:r>
        <w:drawing>
          <wp:inline distT="0" distB="0" distL="0" distR="0">
            <wp:extent cx="4762500" cy="4773251"/>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4773251"/>
                    </a:xfrm>
                    <a:prstGeom prst="rect">
                      <a:avLst/>
                    </a:prstGeom>
                  </pic:spPr>
                </pic:pic>
              </a:graphicData>
            </a:graphic>
          </wp:inline>
        </w:drawing>
      </w:r>
    </w:p>
    <w:p>
      <w:pPr>
        <w:spacing w:after="500"/>
        <w:jc w:val="center"/>
      </w:pPr>
      <w:r>
        <w:drawing>
          <wp:inline distT="0" distB="0" distL="0" distR="0">
            <wp:extent cx="4762500" cy="4773251"/>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4773251"/>
                    </a:xfrm>
                    <a:prstGeom prst="rect">
                      <a:avLst/>
                    </a:prstGeom>
                  </pic:spPr>
                </pic:pic>
              </a:graphicData>
            </a:graphic>
          </wp:inline>
        </w:drawing>
      </w:r>
    </w:p>
    <w:p>
      <w:pPr>
        <w:spacing w:after="500"/>
        <w:jc w:val="center"/>
      </w:pPr>
      <w:r>
        <w:drawing>
          <wp:inline distT="0" distB="0" distL="0" distR="0">
            <wp:extent cx="4762500" cy="4773251"/>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762500" cy="4773251"/>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上图以路径图形式展示了本次模型结果，主要包括模型的系数，用于分析X对于Y的影响关系情况。</w:t>
      </w:r>
    </w:p>
    <w:p>
      <w:pPr>
        <w:widowControl/>
        <w:spacing w:after="0" w:before="0"/>
        <w:ind w:left="720" w:right="720"/>
        <w:jc w:val="left"/>
      </w:pPr>
      <w:r>
        <w:rPr>
          <w:b/>
          <w:bCs/>
          <w:color w:val="000000"/>
          <w:sz w:val="22"/>
          <w:szCs w:val="22"/>
        </w:rPr>
        <w:br/>
        <w:t xml:space="preserve">输出结果4：模型结果预测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single" w:color="000000" w:sz="10"/>
              <w:left w:val="none"/>
              <w:bottom w:val="single" w:color="000000" w:sz="10"/>
              <w:right w:val="none"/>
            </w:tcBorders>
            <w:vAlign w:val="center"/>
          </w:tcPr>
          <w:p>
            <w:pPr>
              <w:pBdr>
                <w:left w:val="none"/>
                <w:right w:val="none"/>
              </w:pBdr>
              <w:jc w:val="center"/>
            </w:pPr>
            <w:r>
              <w:t xml:space="preserve">变量</w:t>
            </w:r>
          </w:p>
        </w:tc>
        <w:tc>
          <w:tcPr>
            <w:gridSpan w:val="1"/>
            <w:tcBorders>
              <w:top w:val="single" w:color="000000" w:sz="10"/>
              <w:left w:val="none"/>
              <w:bottom w:val="single" w:color="000000" w:sz="10"/>
              <w:right w:val="none"/>
            </w:tcBorders>
            <w:vAlign w:val="center"/>
          </w:tcPr>
          <w:p>
            <w:pPr>
              <w:pBdr>
                <w:left w:val="none"/>
                <w:right w:val="none"/>
              </w:pBdr>
              <w:jc w:val="center"/>
            </w:pPr>
            <w:r>
              <w:t xml:space="preserve">系数</w:t>
            </w:r>
          </w:p>
        </w:tc>
        <w:tc>
          <w:tcPr>
            <w:gridSpan w:val="1"/>
            <w:tcBorders>
              <w:top w:val="single" w:color="000000" w:sz="10"/>
              <w:left w:val="none"/>
              <w:bottom w:val="single" w:color="000000" w:sz="10"/>
              <w:right w:val="none"/>
            </w:tcBorders>
            <w:vAlign w:val="center"/>
          </w:tcPr>
          <w:p>
            <w:pPr>
              <w:pBdr>
                <w:left w:val="none"/>
                <w:right w:val="none"/>
              </w:pBdr>
              <w:jc w:val="center"/>
            </w:pPr>
            <w: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71.797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酿酒葡萄</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-0.408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葡萄酒</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0.928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2"/>
            <w:tcBorders>
              <w:top w:val="none" w:color="000000" w:sz="10"/>
              <w:left w:val="none"/>
              <w:bottom w:val="single" w:color="000000" w:sz="10"/>
              <w:right w:val="none"/>
            </w:tcBorders>
            <w:vAlign w:val="center"/>
          </w:tcPr>
          <w:p>
            <w:pPr>
              <w:pBdr>
                <w:left w:val="none"/>
                <w:right w:val="none"/>
              </w:pBdr>
              <w:jc w:val="center"/>
            </w:pPr>
            <w:r>
              <w:t xml:space="preserve">预测结果 -</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71.797</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上表格显示了线性回归模型的预测情况。</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ulob_vuut4e2cr17n28pf.png"/><Relationship Id="rId6" Type="http://schemas.openxmlformats.org/officeDocument/2006/relationships/image" Target="media/vxllx4p03qysa-dcvbf89.png"/><Relationship Id="rId7" Type="http://schemas.openxmlformats.org/officeDocument/2006/relationships/image" Target="media/dompn6b_zd3cmqjvr_qoo.png"/><Relationship Id="rId8" Type="http://schemas.openxmlformats.org/officeDocument/2006/relationships/image" Target="media/rqhueom3zdoh5tjsjvnhx.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2022-07-14T08:17:26.284Z</dcterms:created>
  <dcterms:modified xsi:type="dcterms:W3CDTF">2022-07-14T08:17:26.284Z</dcterms:modified>
</cp:coreProperties>
</file>

<file path=docProps/custom.xml><?xml version="1.0" encoding="utf-8"?>
<Properties xmlns="http://schemas.openxmlformats.org/officeDocument/2006/custom-properties" xmlns:vt="http://schemas.openxmlformats.org/officeDocument/2006/docPropsVTypes"/>
</file>