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Abb Italia: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Abb Italia, secondo la metologia di Transparency International Italia. L'azienda ha ottenuto un indice TRAC soddisfacente (pari a 57.9%).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Abb Italia ha ottenuto un punteggio pari a 100.0%</w:t>
      </w:r>
    </w:p>
    <w:p>
      <w:pPr>
        <w:pStyle w:val="ListBullet"/>
        <w:jc w:val="both"/>
      </w:pPr>
      <w:r>
        <w:t xml:space="preserve">Abb Italia ha ottenuto un punteggo pari a 2 alla domanda 1_1, perché si sono trovate più di una dichiarazione da parte dell'Amministratore Delegato o altre rilevanti figure apicali riguardo all'impegno dell'azienda nel contrasto alla corruzione negli ultimi tre anni.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1_3, perché si è trovato riferimento all'apparteneneza dell'azienda al Global Compact Network delle Nazioni Unite.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Abb Italia ha ottenuto un punteggio pari a 58.8%</w:t>
      </w:r>
    </w:p>
    <w:p>
      <w:pPr>
        <w:pStyle w:val="ListBullet"/>
        <w:jc w:val="both"/>
      </w:pPr>
      <w:r>
        <w:t xml:space="preserve">Abb Italia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2_3, perché si sono trovati riferimenti al fatto che il codice o il programma anti-corruzione siano applicabili a tutte le legal entity del gruppo quali le filiali e società controllate. Manca però riferimento alle imprese affiliate e/o partecipate (joint-ventures etc.).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2_4, perché si legge che il l'ABB integrity programme è aggiornato peridicamente.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2_5, perché si legge che l'ABB integrity programme effettua regolarmente audit interni in tutte le sue filiali in maniera integrata con il team di compliance e legal.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1 alla domanda 2_6, perché si menziona l'esistenza di una procedura di selezione per i fornitori che include uno screening reputazionale. Tuttavia non si sono trovati riferimenti all'esistenza di un'analisi reputazionale periodica per i fornitori già nell'albo. 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2_7,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2_8, perché non sono stati trovati riferimenti all'esistenza di un Organismo di Vigilanza, dedicato alla verifica dell’adeguatezza e della corretta applicazione dei modelli organizzativi adottati ai sensi del D.Lgs. 231/01.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Abb Italia ha ottenuto un punteggio pari a 83.3%</w:t>
      </w:r>
    </w:p>
    <w:p>
      <w:pPr>
        <w:pStyle w:val="ListBullet"/>
        <w:jc w:val="both"/>
      </w:pPr>
      <w:r>
        <w:t xml:space="preserve">Abb Italia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Abb Italia ha ottenuto un punteggio pari a 75.0%</w:t>
      </w:r>
    </w:p>
    <w:p>
      <w:pPr>
        <w:pStyle w:val="ListBullet"/>
        <w:jc w:val="both"/>
      </w:pPr>
      <w:r>
        <w:t xml:space="preserve">Abb Italia ha ottenuto un punteggo pari a 2 alla domanda 4_1, perché si possono effettuare segnalazioni di illeciti da parte dei dipendenti.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4_2, perché c'e chiara menzione della possibilità di usare indirzzi esterni all'azienda per fare uso del canale di whistleblowing.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1 alla domanda 4_3, perché sebbene ci sia una chiara politica di protezione e di incoraggiamento a lanciare allerte in quanto whislteblowers, non si sono trovate menzioni della regolairtà di training sul whistleblowing. Si veda qui: </w:t>
      </w:r>
      <w:hyperlink r:id="rId14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4_5, perché si legge che le segnalazioni sono gestite da un prestatore di servizi indipendente esterno all'azienda.  Si veda qui: </w:t>
      </w:r>
      <w:hyperlink r:id="rId15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2 alla domanda 4_6, perché sono stati trovati riferimenti alla possibilità per il segnalante di ricevere feedback.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Abb Italia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Abb Italia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Abb Italia ha ottenuto un punteggio pari a 83.3%</w:t>
      </w:r>
    </w:p>
    <w:p>
      <w:pPr>
        <w:pStyle w:val="ListBullet"/>
        <w:jc w:val="both"/>
      </w:pPr>
      <w:r>
        <w:t xml:space="preserve">Abb Italia ha ottenuto un punteggo pari a 3 alla domanda 6_1, perché si possono trovare disposizioni relative al conflitto d'interesse, e come appurato alla domanda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6_2, perché si fa riferimenti ad esempi di clientelismo e conflitto di interessi relativi a famigliari di impiegati ABB.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Abb Italia ha ottenuto un punteggio pari a 40.0%</w:t>
      </w:r>
    </w:p>
    <w:p>
      <w:pPr>
        <w:pStyle w:val="ListBullet"/>
        <w:jc w:val="both"/>
      </w:pPr>
      <w:r>
        <w:t xml:space="preserve">Abb Italia ha ottenuto un punteggo pari a 1 alla domanda 7_1, perché si legge che i finanziamenti ai partiti o esponenti politici sono vietati (sono previste eccezioni), ma non si legge che la norma si estende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7_2, perché si legge che i finanziamenti ai partiti o esponenti politici sono vietati. Le eccezioni previste devono essere approvate dal dipertimento legale, non dal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7_3, perché viene pubblicato l'indicatore 415-1 del Global Reporting Initiavie, ma viene usato il termine contributi politici, senza distinzione tra partiti, esponendi e fondazioni.  Si veda qui: </w:t>
      </w:r>
      <w:hyperlink r:id="rId16">
        <w:r>
          <w:rPr/>
          <w:t>Rapporto di Sostenibilità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Abb Italia ha ottenuto un punteggio pari a 20.0%</w:t>
      </w:r>
    </w:p>
    <w:p>
      <w:pPr>
        <w:pStyle w:val="ListBullet"/>
        <w:jc w:val="both"/>
      </w:pPr>
      <w:r>
        <w:t xml:space="preserve">Abb Italia ha ottenuto un punteggo pari a 1 alla domanda 8_1, perché è stata trovata una lista delle filiali che appartengono alla compagnia, ma solo quelle significative.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1 alla domanda 8_2, perché nell’elenco delle società controllate o partecipate sono presenti solo le informazioni relative alla sede e non località in cui operano. Si veda qui: </w:t>
      </w:r>
      <w:hyperlink r:id="rId17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Abb Italia ha ottenuto un punteggo pari a 0 alla domanda 8_3, perché non è stato possibile trovare la lista di tutti i paesi in cui l’azienda opera, sebbene via sia menzione nel rapporto annuale che l'azienda opera in più di 100 paesi.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0 alla domanda 8_4, perché non viene reso pubblico l’importo pagato in tasse nei singoli paesi in cui l’azienda opera.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Abb Italia ha ottenuto un punteggio pari a 68.8%</w:t>
      </w:r>
    </w:p>
    <w:p>
      <w:pPr>
        <w:pStyle w:val="ListBullet"/>
        <w:jc w:val="both"/>
      </w:pPr>
      <w:r>
        <w:t xml:space="preserve">Abb Italia ha ottenuto un punteggo pari a 1 alla domanda 9_1,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1 alla domanda 9_2, perché si legge dell'esistenza di elearning e training faccia a faccia ma non si evince da nessuna descrizione che il training avviene 1 volta ogni 3 anni. Si veda qui: </w:t>
      </w:r>
      <w:hyperlink r:id="rId18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Abb Italia ha ottenuto un punteggo pari a 0 alla domanda 9_3, perché non sono stati trovati riferimenti a alcuna formazione sulle policy e procedure anti-corruzione presenti in azienda per agenti e intermediari.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1 alla domanda 9_4, perché sono menzionati dei programmi di training obbligatori per tutti i dipendendi di ABB nel mondo, ma non ci sono informazioni sul fatto che la frequenza sia almeno triennale.  Si veda qui: </w:t>
      </w:r>
      <w:hyperlink r:id="rId18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9_5, perché si legge chiaramente che ogni impiegato nuovo assunto deve fare un online training sul codice etico.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9_6, perché sono riportate le ore di formazione in anti-corruzione.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Abb Italia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Abb Italia ha ottenuto un punteggio pari a 50.0%</w:t>
      </w:r>
    </w:p>
    <w:p>
      <w:pPr>
        <w:pStyle w:val="ListBullet"/>
        <w:jc w:val="both"/>
      </w:pPr>
      <w:r>
        <w:t xml:space="preserve">Abb Italia ha ottenuto un punteggo pari a 2 alla domanda 10_1, perché come gia visto alla domanda 3.9, la compagnia ha delle regole per la gestione di donazioni e contributi sia ai politici che a organizzazioni caritatevoli.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2 alla domanda 10_2, perché è stato trovato un riferimento al fatto che contributi politici e caritatevoli sono soggetti a rigidi controlli interni.  Si veda qui: </w:t>
      </w:r>
      <w:hyperlink r:id="rId11">
        <w:r>
          <w:rPr/>
          <w:t>Politica Anti Corruzione</w:t>
        </w:r>
      </w:hyperlink>
    </w:p>
    <w:p>
      <w:pPr>
        <w:pStyle w:val="ListBullet"/>
        <w:jc w:val="both"/>
      </w:pPr>
      <w:r>
        <w:t xml:space="preserve">Abb Italia ha ottenuto un punteggo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new.abb.com/about/integrity/commitment" TargetMode="External"/><Relationship Id="rId10" Type="http://schemas.openxmlformats.org/officeDocument/2006/relationships/hyperlink" Target="http://search.abb.com/library/Download.aspx?DocumentID=7ABA102341&amp;LanguageCode=en&amp;DocumentPartID=&amp;Action=Launch" TargetMode="External"/><Relationship Id="rId11" Type="http://schemas.openxmlformats.org/officeDocument/2006/relationships/hyperlink" Target="https://new.abb.com/docs/default-source/integrity_web/the-abb-global-integrity-program.pdf" TargetMode="External"/><Relationship Id="rId12" Type="http://schemas.openxmlformats.org/officeDocument/2006/relationships/hyperlink" Target="https://new.abb.com/about/supplying/becoming-a-supplier" TargetMode="External"/><Relationship Id="rId13" Type="http://schemas.openxmlformats.org/officeDocument/2006/relationships/hyperlink" Target="https://new.abb.com/about/integrity/reporting-channels/how-do-i-report" TargetMode="External"/><Relationship Id="rId14" Type="http://schemas.openxmlformats.org/officeDocument/2006/relationships/hyperlink" Target="https://new.abb.com/about/integrity/training-and-communications" TargetMode="External"/><Relationship Id="rId15" Type="http://schemas.openxmlformats.org/officeDocument/2006/relationships/hyperlink" Target="https://new.abb.com/about/integrity/reporting-channels" TargetMode="External"/><Relationship Id="rId16" Type="http://schemas.openxmlformats.org/officeDocument/2006/relationships/hyperlink" Target="https://new.abb.com/docs/default-source/sustainability/abb-group-sustainability-report-2017.pdf" TargetMode="External"/><Relationship Id="rId17" Type="http://schemas.openxmlformats.org/officeDocument/2006/relationships/hyperlink" Target="https://new.abb.com/docs/default-source/investor-center-docs/annual-report/annual-report-2017/abb-group-annual-report-2017-english.pdf" TargetMode="External"/><Relationship Id="rId18" Type="http://schemas.openxmlformats.org/officeDocument/2006/relationships/hyperlink" Target="https://new.abb.com/about/integrity/training-and-communications/face-to-fac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