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Armani: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Armani, secondo la metologia di Transparency International Italia. L'azienda ha ottenuto un indice TRAC non soddisfacente (pari a 0.0%).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 xml:space="preserve">Alla sezione 1, Armani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 xml:space="preserve">Alla sezione 2, Armani ha ottenuto un punteggio pari a 0.0% perché non sono stati trovati riferimenti o documenti che permettano di effetuare una valutazione in risposta alla domanda formulata dal questionario.  </w:t>
      </w:r>
    </w:p>
    <w:p>
      <w:pPr>
        <w:pStyle w:val="Heading4"/>
      </w:pPr>
      <w:r>
        <w:t>Sezione 3: Codice etico o di condotta</w:t>
      </w:r>
    </w:p>
    <w:p>
      <w:pPr>
        <w:jc w:val="both"/>
      </w:pPr>
      <w:r>
        <w:t xml:space="preserve">Alla sezione 3, Armani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 xml:space="preserve">Alla sezione 4, Armani ha ottenuto un punteggio pari a 0.0% perché non sono stati trovati riferimenti o documenti che permettano di effetuare una valutazione in risposta alla domanda formulata dal questionario.  </w:t>
      </w:r>
    </w:p>
    <w:p>
      <w:pPr>
        <w:pStyle w:val="Heading4"/>
      </w:pPr>
      <w:r>
        <w:t>Sezione 5: Lobbying</w:t>
      </w:r>
    </w:p>
    <w:p>
      <w:pPr>
        <w:jc w:val="both"/>
      </w:pPr>
      <w:r>
        <w:t xml:space="preserve">Alla sezione 5, Armani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 xml:space="preserve">Alla sezione 6, Armani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Armani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Armani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Armani ha ottenuto un punteggio pari a 0.0% perché non sono stati trovati riferimenti o documenti che permettano di effetuare una valutazione in risposta alla domanda formulata dal questionario. 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 xml:space="preserve">Alla sezione 10, Armani ha ottenuto un punteggio pari a 0.0% perché non sono stati trovati riferimenti o documenti che permettano di effetuare una valutazione in risposta alla domanda formulata dal questionario.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