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Calzedonia: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Calzedonia, secondo la metologia di Transparency International Italia. L'azienda ha ottenuto un indice TRAC non soddisfacente (pari a 23.0%).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Calzedonia ha ottenuto un punteggio pari a 30.0%</w:t>
      </w:r>
    </w:p>
    <w:p>
      <w:pPr>
        <w:pStyle w:val="ListBullet"/>
        <w:jc w:val="both"/>
      </w:pPr>
      <w:r>
        <w:t xml:space="preserve">Calzedonia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Calzedonia ha ottenuto un punteggio pari a 76.0%</w:t>
      </w:r>
    </w:p>
    <w:p>
      <w:pPr>
        <w:pStyle w:val="ListBullet"/>
        <w:jc w:val="both"/>
      </w:pPr>
      <w:r>
        <w:t xml:space="preserve">Calzedonia ha ottenuto un punteggo pari a 2 alla domanda 2_1, perché rappresenta un piano anti-corruzione e/o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 contraente esterno a rispettare il codice di condotta - è stato infatti trovato riferimento agli articoli 2104  (“Diligenza del prestatore di lavoro”), 2105 (“Obbligo di fedeltà”) e 2106 (“Sanzioni disciplinari”) del Codice Civile.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2_5, perché si legge dell'esistenza di un sistema di controllo interno grazie al quale si effettua un’analisi dei rischi e che ciò avvenga a scadenza periodica.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2_6, perché non sono stati trovati riferimenti o documenti che permettano di stabilire se venga effettuata un’analisi reputazionale delle aziende da inserire nell’albo fornitori.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2 alla domanda 2_8, perché si cita la formazione di un Organismo di Vigilanza ai sensi del D.Lgs. 231/01, dotato di autonomi poteri di iniziativa e controllo.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Calzedonia ha ottenuto un punteggio pari a 44.0%</w:t>
      </w:r>
    </w:p>
    <w:p>
      <w:pPr>
        <w:pStyle w:val="ListBullet"/>
        <w:jc w:val="both"/>
      </w:pPr>
      <w:r>
        <w:t xml:space="preserve">Calzedonia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3_5, perché non sono stati trovati riferimenti che proibiscano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Calzedonia ha ottenuto un punteggio pari a 40.0%</w:t>
      </w:r>
    </w:p>
    <w:p>
      <w:pPr>
        <w:pStyle w:val="ListBullet"/>
        <w:jc w:val="both"/>
      </w:pPr>
      <w:r>
        <w:t xml:space="preserve">Calzedonia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Calzedonia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Calzedonia ha ottenuto un punteggio pari a 25.0%</w:t>
      </w:r>
    </w:p>
    <w:p>
      <w:pPr>
        <w:pStyle w:val="ListBullet"/>
        <w:jc w:val="both"/>
      </w:pPr>
      <w:r>
        <w:t xml:space="preserve">Calzedonia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6_2, perché non sono stati trovati riferimenti che permettano di stabilire se esistono norme che disciplinino casi di clientelismo e nepotismo, sebbene il codice preveda un certo tipo di comportamento dagli impiegati che dovessero trovarsi in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6_3, perché non sono stati trovati riferimenti a sanzioni per eventuali violazioni delle norme interne in materia di conflitto di interessi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6_4, perché non sono stati trovati riferimenti al fatto che sia contrattualmente richiesto di essere in regola con le norme aziendali relative alla gestione dei conflitti di 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Calzedonia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Calzedonia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Calzedonia ha ottenuto un punteggio pari a 19.0%</w:t>
      </w:r>
    </w:p>
    <w:p>
      <w:pPr>
        <w:pStyle w:val="ListBullet"/>
        <w:jc w:val="both"/>
      </w:pPr>
      <w:r>
        <w:t xml:space="preserve">Calzedonia ha ottenuto un punteggo pari a 0 alla domanda 9_1,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1 alla domanda 9_2, perché non sono stati trovati riferimenti o documenti che permettano di effettuare una valutazione in risposta alla domanda formulata dal questionario. 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punteggo pari a 0 alla domanda 9_3,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9_4,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9_5,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9_6,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punteggo pari a 0 alla domanda 9_7,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Calzedonia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orld.calzedonia.com/custserv/custserv.jsp?pageName=Corporate" TargetMode="External"/><Relationship Id="rId10" Type="http://schemas.openxmlformats.org/officeDocument/2006/relationships/hyperlink" Target="https://it.calzedonia.com/clz_assets/clz/images/cms/CONTENT/Codice-Etico-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