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Falk: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Falk, secondo la metologia di Transparency International Italia. L'azienda ha ottenuto un indice TRAC eccellente (pari a 80.7%).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Falk ha ottenuto un punteggio pari a 88.2%</w:t>
      </w:r>
    </w:p>
    <w:p>
      <w:pPr>
        <w:pStyle w:val="ListBullet"/>
        <w:jc w:val="both"/>
      </w:pPr>
      <w:r>
        <w:t xml:space="preserve">Falk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Falk ha ottenuto un punteggio pari a 94.7%</w:t>
      </w:r>
    </w:p>
    <w:p>
      <w:pPr>
        <w:pStyle w:val="ListBullet"/>
        <w:jc w:val="both"/>
      </w:pPr>
      <w:r>
        <w:t xml:space="preserve">Falk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Falk ha ottenuto un punteggio pari a 75.0%</w:t>
      </w:r>
    </w:p>
    <w:p>
      <w:pPr>
        <w:pStyle w:val="ListBullet"/>
        <w:jc w:val="both"/>
      </w:pPr>
      <w:r>
        <w:t xml:space="preserve">Falk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Falk ha ottenuto un punteggio pari a 50.0%</w:t>
      </w:r>
    </w:p>
    <w:p>
      <w:pPr>
        <w:pStyle w:val="ListBullet"/>
        <w:jc w:val="both"/>
      </w:pPr>
      <w:r>
        <w:t xml:space="preserve">Falk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Falk ha ottenuto un punteggio pari a 83.3%</w:t>
      </w:r>
    </w:p>
    <w:p>
      <w:pPr>
        <w:pStyle w:val="ListBullet"/>
        <w:jc w:val="both"/>
      </w:pPr>
      <w:r>
        <w:t xml:space="preserve">Falk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Falk ha ottenuto un punteggio pari a 60.0%</w:t>
      </w:r>
    </w:p>
    <w:p>
      <w:pPr>
        <w:pStyle w:val="ListBullet"/>
        <w:jc w:val="both"/>
      </w:pPr>
      <w:r>
        <w:t xml:space="preserve">Falk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Falk ha ottenuto un punteggio pari a 75.0%</w:t>
      </w:r>
    </w:p>
    <w:p>
      <w:pPr>
        <w:pStyle w:val="ListBullet"/>
        <w:jc w:val="both"/>
      </w:pPr>
      <w:r>
        <w:t xml:space="preserve">Falk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