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Inter, secondo la metologia di Transparency International Italia. L'azienda ha ottenuto un indice TRAC non soddisfacente (pari a 15.0%).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Inter ha ottenuto un punteggio pari a 20.0%</w:t>
      </w:r>
    </w:p>
    <w:p>
      <w:pPr>
        <w:pStyle w:val="ListBullet"/>
        <w:jc w:val="both"/>
      </w:pPr>
      <w:r>
        <w:t xml:space="preserve">Inter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Inter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Inter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Inter ha ottenuto un punteggio pari a 47.0%</w:t>
      </w:r>
    </w:p>
    <w:p>
      <w:pPr>
        <w:pStyle w:val="ListBullet"/>
        <w:jc w:val="both"/>
      </w:pPr>
      <w:r>
        <w:t xml:space="preserve">Inter ha ottenuto un punteggo pari a 2 alla domanda 2_1, perché si menziona dell'esistenza di un modello 231 che rappresenta un modello di gestione del proprio sistema anticorruzione a sè stante.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2_2, perché si menzionano come destinatari tutti i dipendenti, gli agenti e gli intermediari. Ciò nonostante, alla domanda 1.4 non sono stati trovati riferimenti all'esistenza di contratti standard contenenti clausole anti-corruzione o clausole che obbligano il contraente esterno a rispettare il codice di condotta.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1 alla domanda 2_4, perché si evince che una delle responsabilità del responsabile alla funzione di internal auditing sia aggiornare il codice etico, tuttavia senza determinarne la frequenza.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2_5, perché non sono stati trovati riferimenti all'esistenza di un’analisi dei rischi nell’ambito del sistema di controllo interno.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1 alla domanda 2_6, perché si menziona l'esistenza di una procedura di selezione per i fornitori che include uno screening d'integrità.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2_8, perché si cita la formazione di un Modello di Organizzazione Gestione e Controllo ai sensi del D.Lgs. 231/01 e la formazione di un Organismo di Vigilanza, tuttavia non sono stati trovati riferimenti all'indipendenza dell'Organismo di Vigilanza.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Inter ha ottenuto un punteggio pari a 44.0%</w:t>
      </w:r>
    </w:p>
    <w:p>
      <w:pPr>
        <w:pStyle w:val="ListBullet"/>
        <w:jc w:val="both"/>
      </w:pPr>
      <w:r>
        <w:t xml:space="preserve">Inter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3_3, perché si evince che il Consiglio di Amministrazione debba approvare ogni revisione del codice etico, tuttavia non è stato possibile determinarne la frequenza degli aggiornamenti.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3_7, perché non sono stati trovati riferimenti a limitazioni a riguardo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Inter ha ottenuto un punteggio pari a 10.0%</w:t>
      </w:r>
    </w:p>
    <w:p>
      <w:pPr>
        <w:pStyle w:val="ListBullet"/>
        <w:jc w:val="both"/>
      </w:pPr>
      <w:r>
        <w:t xml:space="preserve">Inter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4_3, perché non sono stati trovati riferimenti all'esistenza di un training sul whistleblowing per i dipendenti.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4_4, perché non c'è menzione del fatto che le segnalazioni vengano trattate in maniera confidenziale, né anonima.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4_5, perché si legge che le segnalazioni sono gestite dall'Organismo di Vigilanza. Tuttavia, come visto alla domanda 2.8, non è stato possibile determinare se questo sia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4_8,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Inter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Inter ha ottenuto un punteggio pari a 33.0%</w:t>
      </w:r>
    </w:p>
    <w:p>
      <w:pPr>
        <w:pStyle w:val="ListBullet"/>
        <w:jc w:val="both"/>
      </w:pPr>
      <w:r>
        <w:t xml:space="preserve">Inter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6_2,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6_4,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6_5,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Inter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Inter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Inter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Inter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ter.it/it/societa_club/investor-relations" TargetMode="External"/><Relationship Id="rId10" Type="http://schemas.openxmlformats.org/officeDocument/2006/relationships/hyperlink" Target="https://www.inter.it/html/pdf/Inter_Brand_Codice_Etico.pdf" TargetMode="External"/><Relationship Id="rId11" Type="http://schemas.openxmlformats.org/officeDocument/2006/relationships/hyperlink" Target="https://www.inter.it/html/pdf/codice_etico_200706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