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Juventus 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Juventus , secondo la metologia di Transparency International Italia. L'azienda ha ottenuto un indice TRAC poco soddisfacente (pari a 39.0%).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Juventus  ha ottenuto un punteggio pari a 60.0%</w:t>
      </w:r>
    </w:p>
    <w:p>
      <w:pPr>
        <w:pStyle w:val="ListBullet"/>
        <w:jc w:val="both"/>
      </w:pPr>
      <w:r>
        <w:t xml:space="preserve">Juventus 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Juventus 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Juventus 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Juventus  ha ottenuto un punteggio pari a 82.0%</w:t>
      </w:r>
    </w:p>
    <w:p>
      <w:pPr>
        <w:pStyle w:val="ListBullet"/>
        <w:jc w:val="both"/>
      </w:pPr>
      <w:r>
        <w:t xml:space="preserve">Juventus 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2_6, perché si menziona l'esistenza di una procedura di selezione per i fornitori che include uno screening d'integrità.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Juventus  ha ottenuto un punteggio pari a 61.0%</w:t>
      </w:r>
    </w:p>
    <w:p>
      <w:pPr>
        <w:pStyle w:val="ListBullet"/>
        <w:jc w:val="both"/>
      </w:pPr>
      <w:r>
        <w:t xml:space="preserve">Juventus 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Juventus  ha ottenuto un punteggio pari a 50.0%</w:t>
      </w:r>
    </w:p>
    <w:p>
      <w:pPr>
        <w:pStyle w:val="ListBullet"/>
        <w:jc w:val="both"/>
      </w:pPr>
      <w:r>
        <w:t xml:space="preserve">Juventus 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4_4, perché si menziona chiaramente che le segnalazioni anonime non vengono trattate.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4_8, perché si legge che la compagnia protegge ogni segnalante contro ogni forma di ritorsione.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4_9, perché si legge che qualsiasi tipo di ritorsione non sarà tollerata e/o soggetta ad azioni disciplinari.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Juventus 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Juventus  ha ottenuto un punteggio pari a 58.0%</w:t>
      </w:r>
    </w:p>
    <w:p>
      <w:pPr>
        <w:pStyle w:val="ListBullet"/>
        <w:jc w:val="both"/>
      </w:pPr>
      <w:r>
        <w:t xml:space="preserve">Juventus 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Juventus  ha ottenuto un punteggio pari a 30.0%</w:t>
      </w:r>
    </w:p>
    <w:p>
      <w:pPr>
        <w:pStyle w:val="ListBullet"/>
        <w:jc w:val="both"/>
      </w:pPr>
      <w:r>
        <w:t xml:space="preserve">Juventus  ha ottenuto un punteggo pari a 1 alla domanda 7_1, perché si legge che i finanziamenti ai partiti o esponenti politici sono permessi se regola con le norme anti-corruzione della compagnia. Non si legge tuttavia che la norma si estenda anche a fondazioni politiche.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7_2, perché si è trovata menzione del fatto che il Consiglio di Amministrazione abbia supervisione delle attività di finanziamento della politica.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7_3, perché non sono state trovate prove dell'esistenza di un sistema di reportistica delle attività di finanziamento alla politica.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Juventus 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Juventus  ha ottenuto un punteggio pari a 50.0%</w:t>
      </w:r>
    </w:p>
    <w:p>
      <w:pPr>
        <w:pStyle w:val="ListBullet"/>
        <w:jc w:val="both"/>
      </w:pPr>
      <w:r>
        <w:t xml:space="preserve">Juventus  ha ottenuto un punteggo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9_4, perché non sono stati trovati riferimenti o documenti che permettano di verificare l'esistenza di formazione anticorruzione viene svolta anche nelle società controllate, anche presenti all’estero.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9_5, perché si legge chiaramente che ogni dipendente nuovo assunto ha una formazione sul codice etico. Si veda qui: </w:t>
      </w:r>
      <w:hyperlink r:id="rId13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Juventus  ha ottenuto un punteggo pari a 0 alla domanda 9_6, perché sono stati trovati riferimenti o documenti che permettano di effettuare una valutazione in risposta alla domanda formulata dal questionario.   Si veda qui: </w:t>
      </w:r>
      <w:hyperlink r:id="rId13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Juventus 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Juventus 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juventus.com/it/club/investor-relations/corporate-governance/codice-etico/index.php" TargetMode="External"/><Relationship Id="rId10" Type="http://schemas.openxmlformats.org/officeDocument/2006/relationships/hyperlink" Target="http://www.juventus.com/en/club/investor-relations/corporate-governance/code-of-ethics/" TargetMode="External"/><Relationship Id="rId11" Type="http://schemas.openxmlformats.org/officeDocument/2006/relationships/hyperlink" Target="http://www.juventus.com/it/club/investor-relations/corporate-governance/modello-di-organizzazione-gestione-e-controllo/" TargetMode="External"/><Relationship Id="rId12" Type="http://schemas.openxmlformats.org/officeDocument/2006/relationships/hyperlink" Target="http://www.juventus.com/it/club/investor-relations/pubblicazioni/bilanci-e-relazioni/2016-17.php" TargetMode="External"/><Relationship Id="rId13" Type="http://schemas.openxmlformats.org/officeDocument/2006/relationships/hyperlink" Target="http://www.juventus.com/media/native/csr/Sostenibilita%CC%80_17_ITA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