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MSC: trasparenza e anti-corruzione.</w:t>
      </w:r>
    </w:p>
    <w:p>
      <w:pPr>
        <w:pStyle w:val="Heading3"/>
      </w:pPr>
      <w:r>
        <w:t>Analisi a cura di Transparency International Italia</w:t>
      </w:r>
    </w:p>
    <w:p/>
    <w:p>
      <w:pPr>
        <w:jc w:val="both"/>
      </w:pPr>
      <w:r>
        <w:t>Nel seguente documento si presenterà un'analisi dettagliata del piano anti corruzione di MSC, secondo la metologia di Transparency International Italia. L'azienda ha ottenuto un indice TRAC poco soddisfacente (pari a 26.4%).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MSC ha ottenuto un punteggio pari a 30.0%</w:t>
      </w:r>
    </w:p>
    <w:p>
      <w:pPr>
        <w:pStyle w:val="ListBullet"/>
        <w:jc w:val="both"/>
      </w:pPr>
      <w:r>
        <w:t xml:space="preserve">MSC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MSC ha ottenuto un punteggo pari a 2 alla domanda 1_2, perché c'è un'esplicita dichiarazione anti corruzione.  Si veda qui: </w:t>
      </w:r>
      <w:hyperlink r:id="rId10">
        <w:r>
          <w:rPr/>
          <w:t>Codice di Condotta/Etico</w:t>
        </w:r>
      </w:hyperlink>
    </w:p>
    <w:p>
      <w:pPr>
        <w:pStyle w:val="ListBullet"/>
        <w:jc w:val="both"/>
      </w:pPr>
      <w:r>
        <w:t xml:space="preserve">MSC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MSC ha ottenuto un punteggo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Heading4"/>
      </w:pPr>
      <w:r>
        <w:t>Sezione 2: Modello 231 o piano anti corruzione</w:t>
      </w:r>
    </w:p>
    <w:p>
      <w:pPr>
        <w:jc w:val="both"/>
      </w:pPr>
      <w:r>
        <w:t xml:space="preserve">Alla sezione 2, MSC ha ottenuto un punteggio pari a 0.0% perché si fa riferimento al codice etico e ad una formazione sul codice etico. Tuttavia non sembra esserci menzione di un programma di compliance a sè stante (del tipo Modello 231). </w:t>
      </w:r>
    </w:p>
    <w:p>
      <w:pPr>
        <w:pStyle w:val="Heading4"/>
      </w:pPr>
      <w:r>
        <w:t>Sezione 3: Codice etico o di condotta</w:t>
      </w:r>
    </w:p>
    <w:p>
      <w:pPr>
        <w:jc w:val="both"/>
      </w:pPr>
      <w:r>
        <w:t>Alla sezione 3, MSC ha ottenuto un punteggio pari a 55.6%</w:t>
      </w:r>
    </w:p>
    <w:p>
      <w:pPr>
        <w:pStyle w:val="ListBullet"/>
        <w:jc w:val="both"/>
      </w:pPr>
      <w:r>
        <w:t xml:space="preserve">MSC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MSC ha ottenuto un punteggo pari a 0 alla domanda 3_2, perché non sono stati trovati riferimenti al fatto che il codice sia stato approvato dal CdA dell'azienda.  Si veda qui: </w:t>
      </w:r>
      <w:hyperlink r:id="rId9">
        <w:r>
          <w:rPr/>
          <w:t>Sito Ufficiale</w:t>
        </w:r>
      </w:hyperlink>
    </w:p>
    <w:p>
      <w:pPr>
        <w:pStyle w:val="ListBullet"/>
        <w:jc w:val="both"/>
      </w:pPr>
      <w:r>
        <w:t xml:space="preserve">MSC ha ottenuto un punteggo pari a 0 alla domanda 3_3, perché non sono stati trovati riferimenti al fatto che il codice sia soggetto a revisioni periodiche.  Si veda qui: </w:t>
      </w:r>
      <w:hyperlink r:id="rId10">
        <w:r>
          <w:rPr/>
          <w:t>Codice di Condotta/Etico</w:t>
        </w:r>
      </w:hyperlink>
    </w:p>
    <w:p>
      <w:pPr>
        <w:pStyle w:val="ListBullet"/>
        <w:jc w:val="both"/>
      </w:pPr>
      <w:r>
        <w:t xml:space="preserve">MSC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MSC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MSC ha ottenuto un punteggo pari a 2 alla domanda 3_6, perché si legge che i facilitation payments sono proibiti. Inoltre il il programma anti-corruzione (che include il Codice) si applica a tutte le legal entities del gruppo (si veda domanda 2.3). Si veda qui: </w:t>
      </w:r>
      <w:hyperlink r:id="rId10">
        <w:r>
          <w:rPr/>
          <w:t>Codice di Condotta/Etico</w:t>
        </w:r>
      </w:hyperlink>
    </w:p>
    <w:p>
      <w:pPr>
        <w:pStyle w:val="ListBullet"/>
        <w:jc w:val="both"/>
      </w:pPr>
      <w:r>
        <w:t xml:space="preserve">MSC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MSC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Heading4"/>
      </w:pPr>
      <w:r>
        <w:t>Sezione 4: Politica di whistleblowing e sistema di segnalazione</w:t>
      </w:r>
    </w:p>
    <w:p>
      <w:pPr>
        <w:jc w:val="both"/>
      </w:pPr>
      <w:r>
        <w:t>Alla sezione 4, MSC ha ottenuto un punteggio pari a 30.0%</w:t>
      </w:r>
    </w:p>
    <w:p>
      <w:pPr>
        <w:pStyle w:val="ListBullet"/>
        <w:jc w:val="both"/>
      </w:pPr>
      <w:r>
        <w:t xml:space="preserve">MSC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MSC ha ottenuto un punteggo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MSC ha ottenuto un punteggo pari a 0 alla domanda 4_3, perché non sono stati trovati riferimenti all'esistenza di un training sul whistleblowing per i dipendenti. Si veda qui: </w:t>
      </w:r>
      <w:hyperlink r:id="rId10">
        <w:r>
          <w:rPr/>
          <w:t>Codice di Condotta/Etico</w:t>
        </w:r>
      </w:hyperlink>
    </w:p>
    <w:p>
      <w:pPr>
        <w:pStyle w:val="ListBullet"/>
        <w:jc w:val="both"/>
      </w:pPr>
      <w:r>
        <w:t xml:space="preserve">MSC ha ottenuto un punteggo pari a 2 alla domanda 4_4, perché si legge che le segnalazioni sono gestite in modo confidenziale, con la possibilità di effettuare segnalazioni in anonimo. Si veda qui: </w:t>
      </w:r>
      <w:hyperlink r:id="rId10">
        <w:r>
          <w:rPr/>
          <w:t>Codice di Condotta/Etico</w:t>
        </w:r>
      </w:hyperlink>
    </w:p>
    <w:p>
      <w:pPr>
        <w:pStyle w:val="ListBullet"/>
        <w:jc w:val="both"/>
      </w:pPr>
      <w:r>
        <w:t xml:space="preserve">MSC ha ottenuto un punteggo pari a 0 alla domanda 4_5, perché si legge che l'investigazione è effettuata dal dipartimento di risorse umane e dipartimento legale, che non sono indipendenti né dal punto di vista gestionale né economico.  Si veda qui: </w:t>
      </w:r>
      <w:hyperlink r:id="rId10">
        <w:r>
          <w:rPr/>
          <w:t>Codice di Condotta/Etico</w:t>
        </w:r>
      </w:hyperlink>
    </w:p>
    <w:p>
      <w:pPr>
        <w:pStyle w:val="ListBullet"/>
        <w:jc w:val="both"/>
      </w:pPr>
      <w:r>
        <w:t xml:space="preserve">MSC ha ottenuto un punteggo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MSC ha ottenuto un punteggo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MSC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MSC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Heading4"/>
      </w:pPr>
      <w:r>
        <w:t>Sezione 5: Lobbying</w:t>
      </w:r>
    </w:p>
    <w:p>
      <w:pPr>
        <w:jc w:val="both"/>
      </w:pPr>
      <w:r>
        <w:t>Alla sezione 5, MSC ha ottenuto un punteggio pari a 50.0%</w:t>
      </w:r>
    </w:p>
    <w:p>
      <w:pPr>
        <w:pStyle w:val="ListBullet"/>
        <w:jc w:val="both"/>
      </w:pPr>
      <w:r>
        <w:t xml:space="preserve">MSC ha ottenuto un punteggo pari a 2 alla domanda 5_1, perché si legge che la definizione di pubblico ufficiale include amministrazioni pubbliche territoriali, nazionali, comunitarie e internazionali.  Si veda qui: </w:t>
      </w:r>
      <w:hyperlink r:id="rId10">
        <w:r>
          <w:rPr/>
          <w:t>Codice di Condotta/Etico</w:t>
        </w:r>
      </w:hyperlink>
    </w:p>
    <w:p>
      <w:pPr>
        <w:pStyle w:val="ListBullet"/>
        <w:jc w:val="both"/>
      </w:pPr>
      <w:r>
        <w:t xml:space="preserve">MSC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MSC ha ottenuto un punteggo pari a 2 alla domanda 5_3, perché ci sono regole specifiche che proibiscono regali, omaggi e ospitalità a pubblici ufficiali, che per la definizione alla domanda 5.1 include ogni tipo di funzionario dal livello locale a internazionale. Si veda qui: </w:t>
      </w:r>
      <w:hyperlink r:id="rId10">
        <w:r>
          <w:rPr/>
          <w:t>Codice di Condotta/Etico</w:t>
        </w:r>
      </w:hyperlink>
    </w:p>
    <w:p>
      <w:pPr>
        <w:pStyle w:val="ListBullet"/>
        <w:jc w:val="both"/>
      </w:pPr>
      <w:r>
        <w:t xml:space="preserve">MSC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MSC ha ottenuto un punteggo pari a 0 alla domanda 5_5, perché non sono state trovate informazioni su incontri con i decisori pubblici, policy paper, doni e regali. Si veda qui: </w:t>
      </w:r>
      <w:hyperlink r:id="rId10">
        <w:r>
          <w:rPr/>
          <w:t>Codice di Condotta/Etico</w:t>
        </w:r>
      </w:hyperlink>
    </w:p>
    <w:p>
      <w:pPr>
        <w:pStyle w:val="Heading4"/>
      </w:pPr>
      <w:r>
        <w:t>Sezione 6: Conflitto d'interesse</w:t>
      </w:r>
    </w:p>
    <w:p>
      <w:pPr>
        <w:jc w:val="both"/>
      </w:pPr>
      <w:r>
        <w:t>Alla sezione 6, MSC ha ottenuto un punteggio pari a 58.3%</w:t>
      </w:r>
    </w:p>
    <w:p>
      <w:pPr>
        <w:pStyle w:val="ListBullet"/>
        <w:jc w:val="both"/>
      </w:pPr>
      <w:r>
        <w:t xml:space="preserve">MSC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MSC ha ottenuto un punteggo pari a 1 alla domanda 6_2, perché si legge che un conflitto può emergere quando l'interesse privato (che include interessi della famiglia e parenti vicini) di un dipendente interferisce con gli interessi dell'azienda in modo da creare il rischio che le decisioni del dipendente siano basate sull'interesse privato e non sui suoi doveri nei confronti dell'azienda.  Si veda qui: </w:t>
      </w:r>
      <w:hyperlink r:id="rId10">
        <w:r>
          <w:rPr/>
          <w:t>Codice di Condotta/Etico</w:t>
        </w:r>
      </w:hyperlink>
    </w:p>
    <w:p>
      <w:pPr>
        <w:pStyle w:val="ListBullet"/>
        <w:jc w:val="both"/>
      </w:pPr>
      <w:r>
        <w:t xml:space="preserve">MSC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MSC ha ottenuto un punteggo pari a 0 alla domanda 6_4, perché non sono stati trovati riferimenti al fatto che sia contrattualmente richiesto di essere in regola con le norme aziendali relative alla gestione dei conflitti di interesse. Inoltre, sebbene il codice di condotta contenga vaghe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MSC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Heading4"/>
      </w:pPr>
      <w:r>
        <w:t>Sezione 7: Finanziamento alla politica (Partiti, candidati, e fondazioni politiche)</w:t>
      </w:r>
    </w:p>
    <w:p>
      <w:pPr>
        <w:jc w:val="both"/>
      </w:pPr>
      <w:r>
        <w:t xml:space="preserve">Alla sezione 7, MSC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MSC ha ottenuto un punteggio pari a 40.0%</w:t>
      </w:r>
    </w:p>
    <w:p>
      <w:pPr>
        <w:pStyle w:val="ListBullet"/>
        <w:jc w:val="both"/>
      </w:pPr>
      <w:r>
        <w:t xml:space="preserve">MSC ha ottenuto un punteggo pari a 1 alla domanda 8_1, perché è stata trovata una lista delle filiali, ma non è stato possibile determinare se la lista sia completa o includa solo filiali con percentuale di controllo.  Si veda qui: </w:t>
      </w:r>
      <w:hyperlink r:id="rId11">
        <w:r>
          <w:rPr/>
          <w:t>Rapporto Annuale (più recente)</w:t>
        </w:r>
      </w:hyperlink>
    </w:p>
    <w:p>
      <w:pPr>
        <w:pStyle w:val="ListBullet"/>
        <w:jc w:val="both"/>
      </w:pPr>
      <w:r>
        <w:t xml:space="preserve">MSC ha ottenuto un punteggo pari a 1 alla domanda 8_2, perché è stata trovata una lista delle sedi, ma non una lista di tutti i paesi in cui le filiali della compagnia operano.  Si veda qui: </w:t>
      </w:r>
      <w:hyperlink r:id="rId9">
        <w:r>
          <w:rPr/>
          <w:t>Sito Ufficiale</w:t>
        </w:r>
      </w:hyperlink>
    </w:p>
    <w:p>
      <w:pPr>
        <w:pStyle w:val="ListBullet"/>
        <w:jc w:val="both"/>
      </w:pPr>
      <w:r>
        <w:t xml:space="preserve">MSC ha ottenuto un punteggo pari a 2 alla domanda 8_3, perché sono indicati solo i paesi principali in cui l'azienda opera in una mappa.  Si veda qui: </w:t>
      </w:r>
      <w:hyperlink r:id="rId11">
        <w:r>
          <w:rPr/>
          <w:t>Rapporto Annuale (più recente)</w:t>
        </w:r>
      </w:hyperlink>
    </w:p>
    <w:p>
      <w:pPr>
        <w:pStyle w:val="ListBullet"/>
        <w:jc w:val="both"/>
      </w:pPr>
      <w:r>
        <w:t xml:space="preserve">MSC ha ottenuto un punteggo pari a 0 alla domanda 8_4, perché non viene reso pubblico l’importo pagato in tasse nei singoli paesi in cui l’azienda opera. Si veda qui: </w:t>
      </w:r>
      <w:hyperlink r:id="rId9">
        <w:r>
          <w:rPr/>
          <w:t>Sito Ufficiale</w:t>
        </w:r>
      </w:hyperlink>
    </w:p>
    <w:p>
      <w:pPr>
        <w:pStyle w:val="Heading4"/>
      </w:pPr>
      <w:r>
        <w:t>Sezione 9: Formazione anti corruzione</w:t>
      </w:r>
    </w:p>
    <w:p>
      <w:pPr>
        <w:jc w:val="both"/>
      </w:pPr>
      <w:r>
        <w:t xml:space="preserve">Alla sezione 9, MSC ha ottenuto un punteggio pari a 0.0% perché non sono stati trovati riferimenti che permettano di valutare se l'azienda abbia dei programmi di training sul programma di compliance. </w:t>
      </w:r>
    </w:p>
    <w:p>
      <w:pPr>
        <w:pStyle w:val="Heading4"/>
      </w:pPr>
      <w:r>
        <w:t>Sezione 10: Progetti di sostenibilità</w:t>
      </w:r>
    </w:p>
    <w:p>
      <w:pPr>
        <w:jc w:val="both"/>
      </w:pPr>
      <w:r>
        <w:t>Alla sezione 10, MSC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sccruises.com/en-gl/About-MSC/Ethics-Compliance.aspx" TargetMode="External"/><Relationship Id="rId10" Type="http://schemas.openxmlformats.org/officeDocument/2006/relationships/hyperlink" Target="https://www.msccruises.com/en-gl/Assets/MSC-CRUISES-CODE-OF-BUSINESS-CONDUCT.pdf" TargetMode="External"/><Relationship Id="rId11" Type="http://schemas.openxmlformats.org/officeDocument/2006/relationships/hyperlink" Target="https://www.msccruises.com/en-gl/Assets/MSC%20Cruises%20Annual%20Report%20-%2031.12.17%20-%20Audit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