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OTB: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OTB, secondo la metologia di Transparency International Italia. L'azienda ha ottenuto un indice TRAC soddisfacente (pari a 55.0%).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OTB ha ottenuto un punteggio pari a 60.0%</w:t>
      </w:r>
    </w:p>
    <w:p>
      <w:pPr>
        <w:pStyle w:val="ListBullet"/>
        <w:jc w:val="both"/>
      </w:pPr>
      <w:r>
        <w:t xml:space="preserve">OTB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OTB ha ottenuto un punteggio pari a 88.0%</w:t>
      </w:r>
    </w:p>
    <w:p>
      <w:pPr>
        <w:pStyle w:val="ListBullet"/>
        <w:jc w:val="both"/>
      </w:pPr>
      <w:r>
        <w:t xml:space="preserve">OTB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1 alla domanda 2_3, perché si legge che il codice di condotta di applica alle filiali appartenenti al Gruppo. Non v'è menzione tuttavia delle imprese a partecipazione non di controllo (come imprese associate o join-ventures).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1 alla domanda 2_6, perché si menziona l'esistenza di una procedura di selezione per i fornitori anche se non v'è menzione di uno screening di integrità. Si è trovato tuttavia un codice di condotta fornitori che contiene clausule di corruzione.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OTB ha ottenuto un punteggio pari a 78.0%</w:t>
      </w:r>
    </w:p>
    <w:p>
      <w:pPr>
        <w:pStyle w:val="ListBullet"/>
        <w:jc w:val="both"/>
      </w:pPr>
      <w:r>
        <w:t xml:space="preserve">OTB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OTB ha ottenuto un punteggio pari a 50.0%</w:t>
      </w:r>
    </w:p>
    <w:p>
      <w:pPr>
        <w:pStyle w:val="ListBullet"/>
        <w:jc w:val="both"/>
      </w:pPr>
      <w:r>
        <w:t xml:space="preserve">OTB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4_4, perché non si fa menzione della possibilità di effettuare segnalazioni in anonimo.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OTB ha ottenuto un punteggio pari a 42.0%</w:t>
      </w:r>
    </w:p>
    <w:p>
      <w:pPr>
        <w:pStyle w:val="ListBullet"/>
        <w:jc w:val="both"/>
      </w:pPr>
      <w:r>
        <w:t xml:space="preserve">OTB ha ottenuto un punteggo pari a 2 alla domanda 5_1, perché si legge che la definizione di pubblico ufficiale include amministrazioni pubbliche territoriali, nazionali, comunitarie e internazionali.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5_3, perché ci sono regle che proibiscono regali, omaggi e ospitalità nei confronti di terzi. Nei rapporti con le Istituzioni e con i Pubblici Funzionari sono proibite pratiche di corruzione (pagamenti illeciti e altri benefici). Ne consegue che le regole relative a omaggi e regalie nei confronti della Pubblica Amministrazione sono le stesse che valgono per tutti 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OTB ha ottenuto un punteggio pari a 83.0%</w:t>
      </w:r>
    </w:p>
    <w:p>
      <w:pPr>
        <w:pStyle w:val="ListBullet"/>
        <w:jc w:val="both"/>
      </w:pPr>
      <w:r>
        <w:t xml:space="preserve">OTB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OTB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OTB ha ottenuto un punteggio pari a 44.0%</w:t>
      </w:r>
    </w:p>
    <w:p>
      <w:pPr>
        <w:pStyle w:val="ListBullet"/>
        <w:jc w:val="both"/>
      </w:pPr>
      <w:r>
        <w:t xml:space="preserve">OTB ha ottenuto un punteggo pari a 1 alla domanda 9_1,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9_2,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0 alla domanda 9_5, perché è stato trovato un riferimento all'esistenza di formazioni periodiche e iniziative di divulgazione e formazione sui principi previsti dal Codice Etico, tuttavia non è possibile stabilire se ci siano formazioni specifiche per neoassunti.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OTB ha ottenuto un punteggo pari a 0 alla domanda 9_6, perché si legge che le ore di formazione sul modello 231 sono monitorate, queste non sono tuttavia pubbliche.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OTB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OTB ha ottenuto un punteggio pari a 50.0%</w:t>
      </w:r>
    </w:p>
    <w:p>
      <w:pPr>
        <w:pStyle w:val="ListBullet"/>
        <w:jc w:val="both"/>
      </w:pPr>
      <w:r>
        <w:t xml:space="preserve">OTB ha ottenuto un punteggo pari a 2 alla domanda 10_1, perché come gia visto alla domanda 3.9, la compagnia ha delle regole per la gestione di donazioni e contributi sia ai politici che a organizzazioni caritatevoli.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2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OTB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1">
        <w:r>
          <w:rPr/>
          <w:t>Modello di Gestione e Controllo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otb.net" TargetMode="External"/><Relationship Id="rId10" Type="http://schemas.openxmlformats.org/officeDocument/2006/relationships/hyperlink" Target="https://www.otb.net/data/the-group_6ad97/categorie/7/code_of_ethics_inglese_vers_genna_15_49456.pdf" TargetMode="External"/><Relationship Id="rId11" Type="http://schemas.openxmlformats.org/officeDocument/2006/relationships/hyperlink" Target="https://www.otb.net/data/the-group_6ad97/categorie/7/otb_organizational_model_ing_a35a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