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Roma: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Roma, secondo la metologia di Transparency International Italia. L'azienda ha ottenuto un indice TRAC poco soddisfacente (pari a 45.7%).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Roma ha ottenuto un punteggio pari a 40.0%</w:t>
      </w:r>
    </w:p>
    <w:p>
      <w:pPr>
        <w:pStyle w:val="ListBullet"/>
        <w:jc w:val="both"/>
      </w:pPr>
      <w:r>
        <w:t xml:space="preserve">Roma ha ottenuto un punteggio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Roma ha ottenuto un punteggio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Roma ha ottenuto un punteggio pari a 0 alla domanda 1_4, perché non sono stati trovati riferimenti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Roma ha ottenuto un punteggio pari a 76.5%</w:t>
      </w:r>
    </w:p>
    <w:p>
      <w:pPr>
        <w:pStyle w:val="ListBullet"/>
        <w:jc w:val="both"/>
      </w:pPr>
      <w:r>
        <w:t xml:space="preserve">Roma ha ottenuto un punteggio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0 alla domanda 2_3, perché non sono stati trovati riferimenti che permettano di stabilire se il modello di gestione e controllo si applica ache alle filiali controllate o partecipate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1 alla domanda 2_6, perché si menziona l'esistenza di una procedura di selezione per i fornitori che menziona la trasparenza. Tuttavia non si sono trovati riferimenti all'esistenza di un'analisi reputazionale periodica per i fornitori già nell'albo.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0 alla domanda 2_9, perché non si sono trovate informazioni rigurardo al fatto che l'Organismo di Vigilanza è composto da professionisti con diverse competenze.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Roma ha ottenuto un punteggio pari a 63.2%</w:t>
      </w:r>
    </w:p>
    <w:p>
      <w:pPr>
        <w:pStyle w:val="ListBullet"/>
        <w:jc w:val="both"/>
      </w:pPr>
      <w:r>
        <w:t xml:space="preserve">Roma ha ottenuto un punteggio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1 alla domanda 3_9, perché sono stati trovati riferimenti generali al fatto che l'azienda può decidere di aderire a richieste di contributi limitatamente alle proposte provenienti da enti e associazioni senza fini di lucro, che siano regolarmente costituite ed abbiano un elevato valore culturale o benefico.a regole che disciplinano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0 alla domanda 3_10, perché si legge che il Codice si applica a consulenti e fornitori, ma non c'è menzione di agenti e sub-agenti o un riferimento a tutti i collaboratori esterni.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Roma ha ottenuto un punteggio pari a 45.0%</w:t>
      </w:r>
    </w:p>
    <w:p>
      <w:pPr>
        <w:pStyle w:val="ListBullet"/>
        <w:jc w:val="both"/>
      </w:pPr>
      <w:r>
        <w:t xml:space="preserve">Roma ha ottenuto un punteggio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2 alla domanda 4_4, perché si legge che le segnalazioni sono gestite in modo confidenziale, con la possibilità di effettuare segnalazioni in anonimo.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pressione politica.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Roma ha ottenuto un punteggio pari a 83.3%</w:t>
      </w:r>
    </w:p>
    <w:p>
      <w:pPr>
        <w:pStyle w:val="ListBullet"/>
        <w:jc w:val="both"/>
      </w:pPr>
      <w:r>
        <w:t xml:space="preserve">Roma ha ottenuto un punteggio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Roma ha ottenuto un punteggio pari a 20.0%</w:t>
      </w:r>
    </w:p>
    <w:p>
      <w:pPr>
        <w:pStyle w:val="ListBullet"/>
        <w:jc w:val="both"/>
      </w:pPr>
      <w:r>
        <w:t xml:space="preserve">Roma ha ottenuto un punteggio pari a 1 alla domanda 8_1, perché è stata trovata una lista delle partecipazioni, ma solo quelle rilevanti.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Roma ha ottenuto un punteggio pari a 1 alla domanda 8_2, perché è stata trovata una lista delle società appartenenti al Gruppo e della loro sede legale, ma non v'è menzione dei paesi in cui le dette filiali operino.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0 alla domanda 8_3, perché non sono stati trovati riferimenti o documenti che permettano di effettuare una valutazione in risposta alla domanda formulata dal questionario.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0 alla domanda 8_4, perché non viene reso pubblico l’importo pagato in tasse nei singoli paesi in cui l’azienda opera.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Roma ha ottenuto un punteggio pari a 0 alla domanda 8_5, perché le informazioni su ricavi, utili e investimenti nei singoli paesi in cui l’azienda opera non sono rese pubbliche.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Roma ha ottenuto un punteggio pari a 12.5%</w:t>
      </w:r>
    </w:p>
    <w:p>
      <w:pPr>
        <w:pStyle w:val="ListBullet"/>
        <w:jc w:val="both"/>
      </w:pPr>
      <w:r>
        <w:t xml:space="preserve">Roma ha ottenuto un punteggio pari a 1 alla domanda 9_1,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1 alla domanda 9_2,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0 alla domanda 9_4, perché è stato trovato un chiaro riferimento all'esistenza di formazioni sul codice etico, tuttavia alla domanda 2.3 non si è potuto verificare che il modello anti corruzione si applica a tutte le filiali.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0 alla domanda 9_5, perché è stato trovato un riferimento all'esistenza di formazioni periodiche e iniziative di divulgazione e formazione sui principi previsti dal Codice Etico, tuttavia non è possibile stabilire se ci siano formazioni specifiche per neoassunti.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0 alla domanda 9_6, perché si legge che le ore di formazione sul modello 231 sono monitorate dall'Organismo di Vigilanza, queste non sono tuttavia pubbliche.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Roma ha ottenuto un punteggio pari a 0 alla domanda 9_7, perché non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0 alla domanda 9_8, perché non sono stati trovati riferimenti al fatto che i programmi di formazione anticorruzione prevedono momenti di verifica successivi rispetto ai contenuti oggetto del corso.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Roma ha ottenuto un punteggio pari a 25.0%</w:t>
      </w:r>
    </w:p>
    <w:p>
      <w:pPr>
        <w:pStyle w:val="ListBullet"/>
        <w:jc w:val="both"/>
      </w:pPr>
      <w:r>
        <w:t xml:space="preserve">Roma ha ottenuto un punteggio pari a 0 alla domanda 10_1, perché come gia visto alla domanda 3.9, non sono stati trovati riferimenti al fatto che l’azienda abbia stabilito specifiche regole per disciplinare le occasioni di donazione/patrocinio/collaborazioni in progetti di sostenibilità.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0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punteggio pari a 2 alla domanda 10_3, perché sono stati trovati riferimenti al fatto che attività di sponsorizzazione, che possono riguardare i temi del sociale, dell'ambiente, dello sport, dello spettacolo e dell'arte sono destinate solo ad eventi che offrano garanzia di qualità o rispetto ai quali la Società possa collaborare nella progettazione, in modo da garantirne originalità ed efficacia.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punteggio pari a 0 alla domanda 10_4, perché non sono stati trovati riferimenti al fatto che gli atti o i contratti di donazione, patrocinio, collaborazione prevedono garanzie che il beneficiario effettivo non possa essere un decisore pubblico. Si veda qui: </w:t>
      </w:r>
      <w:hyperlink r:id="rId11">
        <w:r>
          <w:rPr/>
          <w:t>Modello di Gestione e Controllo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asroma.com/" TargetMode="External"/><Relationship Id="rId10" Type="http://schemas.openxmlformats.org/officeDocument/2006/relationships/hyperlink" Target="https://res.cloudinary.com/asroma2-production/raw/upload/asroma2-prod/assets/codice-etico-asr.pdf" TargetMode="External"/><Relationship Id="rId11" Type="http://schemas.openxmlformats.org/officeDocument/2006/relationships/hyperlink" Target="https://res.cloudinary.com/asroma2-production/raw/upload/asroma2-prod/assets/asr-modello-parte-generale-2016.pdf" TargetMode="External"/><Relationship Id="rId12" Type="http://schemas.openxmlformats.org/officeDocument/2006/relationships/hyperlink" Target="http://res.cloudinary.com/as-roma-turbine-production/image/upload/v1516386078/asroma-uat/fv34heazcabixdjpwzwj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