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Tiscali: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Tiscali, secondo la metologia di Transparency International Italia. L'azienda ha ottenuto un indice TRAC poco soddisfacente (pari a 42.0%).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Tiscali ha ottenuto un punteggio pari a 40.0%</w:t>
      </w:r>
    </w:p>
    <w:p>
      <w:pPr>
        <w:pStyle w:val="ListBullet"/>
        <w:jc w:val="both"/>
      </w:pPr>
      <w:r>
        <w:t xml:space="preserve">Tiscali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Tiscali ha ottenuto un punteggo pari a 0 alla domanda 1_2, perché non c'è un'esplicita dichiarazione anti-corruzione.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Tiscali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Tiscali ha ottenuto un punteggio pari a 88.0%</w:t>
      </w:r>
    </w:p>
    <w:p>
      <w:pPr>
        <w:pStyle w:val="ListBullet"/>
        <w:jc w:val="both"/>
      </w:pPr>
      <w:r>
        <w:t xml:space="preserve">Tiscali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2_3, perché si legge chiaramente che il codice si applica a tutte le società del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2_6, perché non solo si menziona l'esistenza di un uno screening reputazionale iniziale, ma alle attività di selezione e di qualificazione segue un controllo sull’operato di questi che sia in conforme ai principi sanciti nel Codice Etico.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Tiscali ha ottenuto un punteggio pari a 72.0%</w:t>
      </w:r>
    </w:p>
    <w:p>
      <w:pPr>
        <w:pStyle w:val="ListBullet"/>
        <w:jc w:val="both"/>
      </w:pPr>
      <w:r>
        <w:t xml:space="preserve">Tiscali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3_3, perché è stato trovato un riferimento al fatto che il Codice di Condotta/Etico sia soggetto ad aggiornamenti, tuttavia senza inidicazioni precise.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3_8, perché non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Tiscali ha ottenuto un punteggio pari a 25.0%</w:t>
      </w:r>
    </w:p>
    <w:p>
      <w:pPr>
        <w:pStyle w:val="ListBullet"/>
        <w:jc w:val="both"/>
      </w:pPr>
      <w:r>
        <w:t xml:space="preserve">Tiscali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4_2, perché vi è riferimento alla possibilità di contattare l'Organismo di Vigilanza per iscritto.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4_4, perché non sono stati trovati riferimenti che permettano di verificare l'esistenza di un canale di segnalazione per dipendenti (whistleblowing).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4_8,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4_9,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Tiscali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Tiscali ha ottenuto un punteggio pari a 58.0%</w:t>
      </w:r>
    </w:p>
    <w:p>
      <w:pPr>
        <w:pStyle w:val="ListBullet"/>
        <w:jc w:val="both"/>
      </w:pPr>
      <w:r>
        <w:t xml:space="preserve">Tiscali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6_5, perché non sono stati trovati riferimenti al fatto che tra i potenziali conflitti di interesse siano previsti anche i collegamenti familiari e personali in grado di influenzare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Tiscali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Tiscali ha ottenuto un punteggio pari a 60.0%</w:t>
      </w:r>
    </w:p>
    <w:p>
      <w:pPr>
        <w:pStyle w:val="ListBullet"/>
        <w:jc w:val="both"/>
      </w:pPr>
      <w:r>
        <w:t xml:space="preserve">Tiscali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1 alla domanda 8_2, perché è stata trovata una lista delle società appartenenti al Gruppo e della loro sede legale, ma non v'è menzione dei paesi in cui le dette filiali operino.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2 alla domanda 8_3, perché sono indicati tutti i paesi in cui l'azienda opera in una organigramma.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Tiscali ha ottenuto un punteggio pari a 56.0%</w:t>
      </w:r>
    </w:p>
    <w:p>
      <w:pPr>
        <w:pStyle w:val="ListBullet"/>
        <w:jc w:val="both"/>
      </w:pPr>
      <w:r>
        <w:t xml:space="preserve">Tiscali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9_6, perché non sono riportate le ore di formazione in anti corruzione / compliance.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Tiscali ha ottenuto un punteggio pari a 25.0%</w:t>
      </w:r>
    </w:p>
    <w:p>
      <w:pPr>
        <w:pStyle w:val="ListBullet"/>
        <w:jc w:val="both"/>
      </w:pPr>
      <w:r>
        <w:t xml:space="preserve">Tiscali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10_2, perché non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Annuale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investors.tiscali.it/en/governance/" TargetMode="External"/><Relationship Id="rId10" Type="http://schemas.openxmlformats.org/officeDocument/2006/relationships/hyperlink" Target="http://investors.tiscali.it/upload/fileuploads/Codice_Etico_Tiscali.pdf" TargetMode="External"/><Relationship Id="rId11" Type="http://schemas.openxmlformats.org/officeDocument/2006/relationships/hyperlink" Target="http://investors.tiscali.it/upload/documents/231_GruppoTiscali_Parte_Generale.pdf" TargetMode="External"/><Relationship Id="rId12" Type="http://schemas.openxmlformats.org/officeDocument/2006/relationships/hyperlink" Target="http://investors.tiscali.it/upload/bilanci/2016%20Annual%20Group%20Report_E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