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Vodafone: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Vodafone, secondo la metologia di Transparency International Italia. L'azienda ha ottenuto un indice TRAC eccellente (pari a 94.9%).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Vodafone ha ottenuto un punteggio pari a 88.2%</w:t>
      </w:r>
    </w:p>
    <w:p>
      <w:pPr>
        <w:pStyle w:val="ListBullet"/>
        <w:jc w:val="both"/>
      </w:pPr>
      <w:r>
        <w:t xml:space="preserve">Vodafone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Vodafone ha ottenuto un punteggio pari a 88.9%</w:t>
      </w:r>
    </w:p>
    <w:p>
      <w:pPr>
        <w:pStyle w:val="ListBullet"/>
        <w:jc w:val="both"/>
      </w:pPr>
      <w:r>
        <w:t xml:space="preserve">Vodafone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Vodafone ha ottenuto un punteggio pari a 85.0%</w:t>
      </w:r>
    </w:p>
    <w:p>
      <w:pPr>
        <w:pStyle w:val="ListBullet"/>
        <w:jc w:val="both"/>
      </w:pPr>
      <w:r>
        <w:t xml:space="preserve">Vodafone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Vodafone ha ottenuto un punteggio pari a 91.7%</w:t>
      </w:r>
    </w:p>
    <w:p>
      <w:pPr>
        <w:pStyle w:val="ListBullet"/>
        <w:jc w:val="both"/>
      </w:pPr>
      <w:r>
        <w:t xml:space="preserve">Vodafone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Vodafone ha ottenuto un punteggio pari a 100.0%</w:t>
      </w:r>
    </w:p>
    <w:p>
      <w:pPr>
        <w:pStyle w:val="ListBullet"/>
        <w:jc w:val="both"/>
      </w:pPr>
      <w:r>
        <w:t xml:space="preserve">Vodafone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