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color w:val="0B4F9C"/>
          <w:sz w:val="18"/>
          <w:szCs w:val="18"/>
        </w:rPr>
        <w:t>PROJET FIL ROUGE NUTRISCOPE · TP 7 (SUITE) — CONDUITE DU CHANGEMENT &amp; ACCOMPAGNEMENT</w:t>
      </w:r>
    </w:p>
    <w:p>
      <w:pPr>
        <w:pStyle w:val="Normal"/>
        <w:spacing w:before="0" w:after="100"/>
        <w:rPr/>
      </w:pPr>
      <w:r>
        <w:rPr>
          <w:rFonts w:eastAsia="Georgia" w:cs="Georgia" w:ascii="Georgia" w:hAnsi="Georgia"/>
          <w:b/>
          <w:bCs/>
          <w:color w:val="1B2536"/>
          <w:sz w:val="36"/>
          <w:szCs w:val="36"/>
        </w:rPr>
        <w:t>Trame à remplir — plan d'adoption NutriScope</w:t>
      </w:r>
    </w:p>
    <w:tbl>
      <w:tblPr>
        <w:tblW w:w="9638" w:type="dxa"/>
        <w:jc w:val="start"/>
        <w:tblInd w:w="0" w:type="dxa"/>
        <w:tblLayout w:type="fixed"/>
        <w:tblCellMar>
          <w:top w:w="60" w:type="dxa"/>
          <w:start w:w="100" w:type="dxa"/>
          <w:bottom w:w="60" w:type="dxa"/>
          <w:end w:w="100" w:type="dxa"/>
        </w:tblCellMar>
      </w:tblPr>
      <w:tblGrid>
        <w:gridCol w:w="2399"/>
        <w:gridCol w:w="7239"/>
      </w:tblGrid>
      <w:tr>
        <w:trPr/>
        <w:tc>
          <w:tcPr>
            <w:tcW w:w="239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Équipe / membres</w:t>
            </w:r>
          </w:p>
          <w:p>
            <w:pPr>
              <w:pStyle w:val="Normal"/>
              <w:spacing w:before="0" w:after="40"/>
              <w:rPr/>
            </w:pPr>
            <w:r>
              <w:rPr/>
            </w:r>
          </w:p>
        </w:tc>
        <w:tc>
          <w:tcPr>
            <w:tcW w:w="723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
          </w:p>
          <w:p>
            <w:pPr>
              <w:pStyle w:val="Normal"/>
              <w:spacing w:before="0" w:after="40"/>
              <w:rPr/>
            </w:pPr>
            <w:r>
              <w:rPr/>
            </w:r>
          </w:p>
        </w:tc>
      </w:tr>
      <w:tr>
        <w:trPr/>
        <w:tc>
          <w:tcPr>
            <w:tcW w:w="239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Date</w:t>
            </w:r>
          </w:p>
        </w:tc>
        <w:tc>
          <w:tcPr>
            <w:tcW w:w="723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
          </w:p>
        </w:tc>
      </w:tr>
    </w:tbl>
    <w:p>
      <w:pPr>
        <w:pStyle w:val="Normal"/>
        <w:spacing w:lineRule="auto" w:line="276" w:before="0" w:after="120"/>
        <w:rPr/>
      </w:pPr>
      <w:r>
        <w:rPr/>
      </w:r>
    </w:p>
    <w:p>
      <w:pPr>
        <w:pStyle w:val="Normal"/>
        <w:spacing w:lineRule="auto" w:line="276" w:before="0" w:after="120"/>
        <w:rPr/>
      </w:pPr>
      <w:r>
        <w:rPr>
          <w:rFonts w:eastAsia="Calibri" w:cs="Calibri"/>
          <w:b/>
          <w:bCs/>
          <w:color w:val="1B2536"/>
          <w:sz w:val="21"/>
          <w:szCs w:val="21"/>
        </w:rPr>
        <w:t xml:space="preserve">Consigne : </w:t>
      </w:r>
      <w:r>
        <w:rPr>
          <w:rFonts w:eastAsia="Calibri" w:cs="Calibri"/>
          <w:color w:val="1B2536"/>
          <w:sz w:val="21"/>
          <w:szCs w:val="21"/>
        </w:rPr>
        <w:t xml:space="preserve">remplissez chaque section de ce document, puis committez-le dans votre dépôt d'équipe sous </w:t>
      </w:r>
      <w:r>
        <w:rPr>
          <w:rFonts w:eastAsia="Consolas" w:cs="Consolas" w:ascii="Consolas" w:hAnsi="Consolas"/>
          <w:color w:val="1B2536"/>
          <w:sz w:val="19"/>
          <w:szCs w:val="19"/>
        </w:rPr>
        <w:t>docs/cadrage/plan_adoption.docx</w:t>
      </w:r>
      <w:r>
        <w:rPr>
          <w:rFonts w:eastAsia="Calibri" w:cs="Calibri"/>
          <w:color w:val="1B2536"/>
          <w:sz w:val="21"/>
          <w:szCs w:val="21"/>
        </w:rPr>
        <w:t xml:space="preserve"> et complétez l'onglet « adoption » de </w:t>
      </w:r>
      <w:r>
        <w:rPr>
          <w:rFonts w:eastAsia="Consolas" w:cs="Consolas" w:ascii="Consolas" w:hAnsi="Consolas"/>
          <w:color w:val="1B2536"/>
          <w:sz w:val="19"/>
          <w:szCs w:val="19"/>
        </w:rPr>
        <w:t>kpi_roi.xlsx</w:t>
      </w:r>
      <w:r>
        <w:rPr>
          <w:rFonts w:eastAsia="Calibri" w:cs="Calibri"/>
          <w:color w:val="1B2536"/>
          <w:sz w:val="21"/>
          <w:szCs w:val="21"/>
        </w:rPr>
        <w:t>. Ce document alimente la note de cadrage du TP 8 (jalon J2).</w:t>
      </w:r>
    </w:p>
    <w:p>
      <w:pPr>
        <w:pStyle w:val="Normal"/>
        <w:pBdr>
          <w:left w:val="single" w:sz="18" w:space="0" w:color="B45309"/>
        </w:pBdr>
        <w:shd w:val="clear" w:fill="FFF7E6"/>
        <w:spacing w:lineRule="auto" w:line="276" w:before="80" w:after="160"/>
        <w:ind w:start="120"/>
        <w:rPr/>
      </w:pPr>
      <w:r>
        <w:rPr>
          <w:rFonts w:eastAsia="Calibri" w:cs="Calibri"/>
          <w:b/>
          <w:bCs/>
          <w:color w:val="7A4A12"/>
          <w:sz w:val="21"/>
          <w:szCs w:val="21"/>
        </w:rPr>
        <w:t xml:space="preserve">Règle du jeu : </w:t>
      </w:r>
      <w:r>
        <w:rPr>
          <w:rFonts w:eastAsia="Calibri" w:cs="Calibri"/>
          <w:i/>
          <w:iCs/>
          <w:color w:val="7A4A12"/>
          <w:sz w:val="21"/>
          <w:szCs w:val="21"/>
        </w:rPr>
        <w:t>interdiction d'écrire « communiquer davantage » ou « former les utilisateurs » sans dire qui, quand, sur quoi, et comment on saura que ça a marché.</w:t>
      </w:r>
    </w:p>
    <w:p>
      <w:pPr>
        <w:pStyle w:val="Heading1"/>
        <w:rPr/>
      </w:pPr>
      <w:r>
        <w:rPr/>
        <w:t>1. Cartographie des acteurs de l'adoption</w:t>
      </w:r>
    </w:p>
    <w:p>
      <w:pPr>
        <w:pStyle w:val="Normal"/>
        <w:spacing w:lineRule="auto" w:line="276" w:before="0" w:after="120"/>
        <w:rPr/>
      </w:pPr>
      <w:r>
        <w:rPr>
          <w:rFonts w:eastAsia="Calibri" w:cs="Calibri"/>
          <w:i/>
          <w:iCs/>
          <w:color w:val="5B6B80"/>
          <w:sz w:val="19"/>
          <w:szCs w:val="19"/>
        </w:rPr>
        <w:t>Pouvoir : faible / moyen / fort. Catégorie : à mobiliser / à sécuriser / à informer / à suivre. Une action concrète et datée par acteur — pas la même pour tous. Les acteurs sont pré-listés ; ajoutez les vôtres dans les lignes vides.</w:t>
      </w:r>
    </w:p>
    <w:tbl>
      <w:tblPr>
        <w:tblW w:w="9638" w:type="dxa"/>
        <w:jc w:val="start"/>
        <w:tblInd w:w="0" w:type="dxa"/>
        <w:tblLayout w:type="fixed"/>
        <w:tblCellMar>
          <w:top w:w="60" w:type="dxa"/>
          <w:start w:w="100" w:type="dxa"/>
          <w:bottom w:w="60" w:type="dxa"/>
          <w:end w:w="100" w:type="dxa"/>
        </w:tblCellMar>
      </w:tblPr>
      <w:tblGrid>
        <w:gridCol w:w="2100"/>
        <w:gridCol w:w="1149"/>
        <w:gridCol w:w="1500"/>
        <w:gridCol w:w="1601"/>
        <w:gridCol w:w="3288"/>
      </w:tblGrid>
      <w:tr>
        <w:trPr>
          <w:tblHeader w:val="true"/>
        </w:trPr>
        <w:tc>
          <w:tcPr>
            <w:tcW w:w="2100"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Acteur</w:t>
            </w:r>
          </w:p>
        </w:tc>
        <w:tc>
          <w:tcPr>
            <w:tcW w:w="1149"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Pouvoir</w:t>
            </w:r>
          </w:p>
        </w:tc>
        <w:tc>
          <w:tcPr>
            <w:tcW w:w="1500"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Attitude</w:t>
            </w:r>
          </w:p>
        </w:tc>
        <w:tc>
          <w:tcPr>
            <w:tcW w:w="1601"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Catégorie</w:t>
            </w:r>
          </w:p>
        </w:tc>
        <w:tc>
          <w:tcPr>
            <w:tcW w:w="3288"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Action concrète</w:t>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Direction NutriScope (sponsor)</w:t>
            </w:r>
          </w:p>
          <w:p>
            <w:pPr>
              <w:pStyle w:val="Normal"/>
              <w:spacing w:before="0" w:after="40"/>
              <w:rPr/>
            </w:pPr>
            <w:r>
              <w:rPr/>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Fort</w:t>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
          </w:p>
          <w:p>
            <w:pPr>
              <w:pStyle w:val="Normal"/>
              <w:spacing w:before="0" w:after="40"/>
              <w:rPr/>
            </w:pPr>
            <w:r>
              <w:rPr/>
              <w:t>Neutre</w:t>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
          </w:p>
          <w:p>
            <w:pPr>
              <w:pStyle w:val="Normal"/>
              <w:spacing w:lineRule="auto" w:line="264" w:before="0" w:after="40"/>
              <w:rPr/>
            </w:pPr>
            <w:r>
              <w:rPr/>
              <w:t>A informer</w:t>
            </w:r>
          </w:p>
          <w:p>
            <w:pPr>
              <w:pStyle w:val="Normal"/>
              <w:spacing w:before="0" w:after="40"/>
              <w:rPr/>
            </w:pPr>
            <w:r>
              <w:rPr/>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
          </w:p>
          <w:p>
            <w:pPr>
              <w:pStyle w:val="Normal"/>
              <w:spacing w:before="0" w:after="40"/>
              <w:rPr/>
            </w:pPr>
            <w:r>
              <w:rPr/>
              <w:t>Présenter le comité de pilotage avec les 7KPI</w:t>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Marketing</w:t>
            </w:r>
          </w:p>
          <w:p>
            <w:pPr>
              <w:pStyle w:val="Normal"/>
              <w:spacing w:before="0" w:after="40"/>
              <w:rPr/>
            </w:pPr>
            <w:r>
              <w:rPr/>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Moyen</w:t>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Favorable</w:t>
            </w:r>
          </w:p>
          <w:p>
            <w:pPr>
              <w:pStyle w:val="Normal"/>
              <w:spacing w:before="0" w:after="40"/>
              <w:rPr/>
            </w:pPr>
            <w:r>
              <w:rPr/>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 mobiliser</w:t>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 xml:space="preserve">Co-construire le message de lancement autour de l'assistant IA </w:t>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Support client</w:t>
            </w:r>
          </w:p>
          <w:p>
            <w:pPr>
              <w:pStyle w:val="Normal"/>
              <w:spacing w:before="0" w:after="40"/>
              <w:rPr/>
            </w:pPr>
            <w:r>
              <w:rPr/>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Faible</w:t>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Neutre</w:t>
            </w:r>
          </w:p>
          <w:p>
            <w:pPr>
              <w:pStyle w:val="Normal"/>
              <w:spacing w:before="0" w:after="40"/>
              <w:rPr/>
            </w:pPr>
            <w:r>
              <w:rPr/>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 informer</w:t>
            </w:r>
          </w:p>
          <w:p>
            <w:pPr>
              <w:pStyle w:val="Normal"/>
              <w:spacing w:before="0" w:after="40"/>
              <w:rPr/>
            </w:pPr>
            <w:r>
              <w:rPr/>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Former l’équipe sur les cas limites de l’assistant</w:t>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Équipe data/IA</w:t>
            </w:r>
          </w:p>
          <w:p>
            <w:pPr>
              <w:pStyle w:val="Normal"/>
              <w:spacing w:before="0" w:after="40"/>
              <w:rPr/>
            </w:pPr>
            <w:r>
              <w:rPr/>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Fort</w:t>
            </w:r>
          </w:p>
          <w:p>
            <w:pPr>
              <w:pStyle w:val="Normal"/>
              <w:spacing w:before="0" w:after="40"/>
              <w:rPr/>
            </w:pPr>
            <w:r>
              <w:rPr/>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Favorable</w:t>
            </w:r>
          </w:p>
          <w:p>
            <w:pPr>
              <w:pStyle w:val="Normal"/>
              <w:spacing w:before="0" w:after="40"/>
              <w:rPr/>
            </w:pPr>
            <w:r>
              <w:rPr/>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 mobiliser</w:t>
            </w:r>
          </w:p>
          <w:p>
            <w:pPr>
              <w:pStyle w:val="Normal"/>
              <w:spacing w:before="0" w:after="40"/>
              <w:rPr/>
            </w:pPr>
            <w:r>
              <w:rPr/>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Définir et documenter les critères des substitution</w:t>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DPO</w:t>
            </w:r>
          </w:p>
          <w:p>
            <w:pPr>
              <w:pStyle w:val="Normal"/>
              <w:spacing w:before="0" w:after="40"/>
              <w:rPr/>
            </w:pPr>
            <w:r>
              <w:rPr/>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Fort</w:t>
            </w:r>
          </w:p>
          <w:p>
            <w:pPr>
              <w:pStyle w:val="Normal"/>
              <w:spacing w:before="0" w:after="40"/>
              <w:rPr/>
            </w:pPr>
            <w:r>
              <w:rPr/>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Neutre</w:t>
            </w:r>
          </w:p>
          <w:p>
            <w:pPr>
              <w:pStyle w:val="Normal"/>
              <w:spacing w:before="0" w:after="40"/>
              <w:rPr/>
            </w:pPr>
            <w:r>
              <w:rPr/>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 sécuriser</w:t>
            </w:r>
          </w:p>
          <w:p>
            <w:pPr>
              <w:pStyle w:val="Normal"/>
              <w:spacing w:before="0" w:after="40"/>
              <w:rPr/>
            </w:pPr>
            <w:r>
              <w:rPr/>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Valider le registre des traitements de données </w:t>
            </w:r>
          </w:p>
          <w:p>
            <w:pPr>
              <w:pStyle w:val="Normal"/>
              <w:spacing w:before="0" w:after="40"/>
              <w:rPr/>
            </w:pPr>
            <w:r>
              <w:rPr/>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Utilisateurs — parent pressé</w:t>
            </w:r>
          </w:p>
          <w:p>
            <w:pPr>
              <w:pStyle w:val="Normal"/>
              <w:spacing w:before="0" w:after="40"/>
              <w:rPr/>
            </w:pPr>
            <w:r>
              <w:rPr/>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
          </w:p>
          <w:p>
            <w:pPr>
              <w:pStyle w:val="Normal"/>
              <w:spacing w:before="0" w:after="40"/>
              <w:rPr/>
            </w:pPr>
            <w:r>
              <w:rPr/>
              <w:t>Faible</w:t>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Favorable si ca marche</w:t>
            </w:r>
          </w:p>
          <w:p>
            <w:pPr>
              <w:pStyle w:val="Normal"/>
              <w:spacing w:before="0" w:after="40"/>
              <w:rPr/>
            </w:pPr>
            <w:r>
              <w:rPr/>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 informer</w:t>
            </w:r>
          </w:p>
          <w:p>
            <w:pPr>
              <w:pStyle w:val="Normal"/>
              <w:spacing w:before="0" w:after="40"/>
              <w:rPr/>
            </w:pPr>
            <w:r>
              <w:rPr/>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Tester le parcours scan + substitution</w:t>
            </w:r>
          </w:p>
          <w:p>
            <w:pPr>
              <w:pStyle w:val="Normal"/>
              <w:spacing w:before="0" w:after="40"/>
              <w:rPr/>
            </w:pPr>
            <w:r>
              <w:rPr/>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Utilisateurs — personne diabétique</w:t>
            </w:r>
          </w:p>
          <w:p>
            <w:pPr>
              <w:pStyle w:val="Normal"/>
              <w:spacing w:before="0" w:after="40"/>
              <w:rPr/>
            </w:pPr>
            <w:r>
              <w:rPr/>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Faible </w:t>
            </w:r>
          </w:p>
          <w:p>
            <w:pPr>
              <w:pStyle w:val="Normal"/>
              <w:spacing w:before="0" w:after="40"/>
              <w:rPr/>
            </w:pPr>
            <w:r>
              <w:rPr/>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Neutre ( prudent )</w:t>
            </w:r>
          </w:p>
          <w:p>
            <w:pPr>
              <w:pStyle w:val="Normal"/>
              <w:spacing w:before="0" w:after="40"/>
              <w:rPr/>
            </w:pPr>
            <w:r>
              <w:rPr/>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
          </w:p>
          <w:p>
            <w:pPr>
              <w:pStyle w:val="Normal"/>
              <w:spacing w:before="0" w:after="40"/>
              <w:rPr/>
            </w:pPr>
            <w:r>
              <w:rPr/>
              <w:t>A sécuriser</w:t>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Faire tester les substitutions par 15 utilisateurs diabétique avec retour supervisé</w:t>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Utilisateurs — étudiant budget</w:t>
            </w:r>
          </w:p>
          <w:p>
            <w:pPr>
              <w:pStyle w:val="Normal"/>
              <w:spacing w:before="0" w:after="40"/>
              <w:rPr/>
            </w:pPr>
            <w:r>
              <w:rPr/>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Faible</w:t>
            </w:r>
          </w:p>
          <w:p>
            <w:pPr>
              <w:pStyle w:val="Normal"/>
              <w:spacing w:before="0" w:after="40"/>
              <w:rPr/>
            </w:pPr>
            <w:r>
              <w:rPr/>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Favorable ( si le prix est dans le projet)</w:t>
            </w:r>
          </w:p>
          <w:p>
            <w:pPr>
              <w:pStyle w:val="Normal"/>
              <w:spacing w:before="0" w:after="40"/>
              <w:rPr/>
            </w:pPr>
            <w:r>
              <w:rPr/>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 informer</w:t>
            </w:r>
          </w:p>
          <w:p>
            <w:pPr>
              <w:pStyle w:val="Normal"/>
              <w:spacing w:before="0" w:after="40"/>
              <w:rPr/>
            </w:pPr>
            <w:r>
              <w:rPr/>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Ajouter le filtre prix dans les critères de substitution et communiquer dans les réseaux étudiant</w:t>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Open Food Facts</w:t>
            </w:r>
          </w:p>
          <w:p>
            <w:pPr>
              <w:pStyle w:val="Normal"/>
              <w:spacing w:before="0" w:after="40"/>
              <w:rPr/>
            </w:pPr>
            <w:r>
              <w:rPr/>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Fort</w:t>
            </w:r>
          </w:p>
          <w:p>
            <w:pPr>
              <w:pStyle w:val="Normal"/>
              <w:spacing w:before="0" w:after="40"/>
              <w:rPr/>
            </w:pPr>
            <w:r>
              <w:rPr/>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Neutre a favorable ( dépend du respect de la licence )</w:t>
            </w:r>
          </w:p>
          <w:p>
            <w:pPr>
              <w:pStyle w:val="Normal"/>
              <w:spacing w:before="0" w:after="40"/>
              <w:rPr/>
            </w:pPr>
            <w:r>
              <w:rPr/>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 sécuriser</w:t>
            </w:r>
          </w:p>
          <w:p>
            <w:pPr>
              <w:pStyle w:val="Normal"/>
              <w:spacing w:before="0" w:after="40"/>
              <w:rPr/>
            </w:pPr>
            <w:r>
              <w:rPr/>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Formaliser un accord si besoin sur l’utilisation des données / API</w:t>
            </w:r>
          </w:p>
          <w:p>
            <w:pPr>
              <w:pStyle w:val="Normal"/>
              <w:spacing w:before="0" w:after="40"/>
              <w:rPr/>
            </w:pPr>
            <w:r>
              <w:rPr/>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Industriels agroalimentaires (marques référencées) </w:t>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Fort</w:t>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Méfiante à hostile</w:t>
            </w:r>
          </w:p>
          <w:p>
            <w:pPr>
              <w:pStyle w:val="Normal"/>
              <w:spacing w:before="0" w:after="40"/>
              <w:rPr/>
            </w:pPr>
            <w:r>
              <w:rPr/>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 sécuriser</w:t>
            </w:r>
          </w:p>
          <w:p>
            <w:pPr>
              <w:pStyle w:val="Normal"/>
              <w:spacing w:before="0" w:after="40"/>
              <w:rPr/>
            </w:pPr>
            <w:r>
              <w:rPr/>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Rédiger et envoyer une charte de neutralité </w:t>
            </w:r>
            <w:r>
              <w:rPr/>
              <w:t>a</w:t>
            </w:r>
            <w:r>
              <w:rPr/>
              <w:t xml:space="preserve">ux 10 plus grandes marques référencées </w:t>
            </w:r>
          </w:p>
          <w:p>
            <w:pPr>
              <w:pStyle w:val="Normal"/>
              <w:spacing w:before="0" w:after="40"/>
              <w:rPr/>
            </w:pPr>
            <w:r>
              <w:rPr/>
            </w:r>
          </w:p>
        </w:tc>
      </w:tr>
      <w:tr>
        <w:trPr/>
        <w:tc>
          <w:tcPr>
            <w:tcW w:w="2100"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 xml:space="preserve">Associations de consommateurs (type UFC-Que Choisir) </w:t>
            </w:r>
          </w:p>
        </w:tc>
        <w:tc>
          <w:tcPr>
            <w:tcW w:w="114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Moyen</w:t>
            </w:r>
          </w:p>
          <w:p>
            <w:pPr>
              <w:pStyle w:val="Normal"/>
              <w:spacing w:before="0" w:after="40"/>
              <w:rPr/>
            </w:pPr>
            <w:r>
              <w:rPr/>
            </w:r>
          </w:p>
        </w:tc>
        <w:tc>
          <w:tcPr>
            <w:tcW w:w="1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Favorable a priori</w:t>
            </w:r>
          </w:p>
        </w:tc>
        <w:tc>
          <w:tcPr>
            <w:tcW w:w="1601"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 informer</w:t>
            </w:r>
          </w:p>
          <w:p>
            <w:pPr>
              <w:pStyle w:val="Normal"/>
              <w:spacing w:before="0" w:after="40"/>
              <w:rPr/>
            </w:pPr>
            <w:r>
              <w:rPr/>
            </w:r>
          </w:p>
        </w:tc>
        <w:tc>
          <w:tcPr>
            <w:tcW w:w="328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Proposer un point presse/démo dédié en amont du lancement public </w:t>
            </w:r>
          </w:p>
        </w:tc>
      </w:tr>
    </w:tbl>
    <w:p>
      <w:pPr>
        <w:pStyle w:val="Heading1"/>
        <w:rPr/>
      </w:pPr>
      <w:r>
        <w:rPr/>
        <w:t>2. Anticipation des résistances</w:t>
      </w:r>
    </w:p>
    <w:p>
      <w:pPr>
        <w:pStyle w:val="Normal"/>
        <w:spacing w:lineRule="auto" w:line="276" w:before="0" w:after="120"/>
        <w:rPr/>
      </w:pPr>
      <w:r>
        <w:rPr>
          <w:rFonts w:eastAsia="Calibri" w:cs="Calibri"/>
          <w:i/>
          <w:iCs/>
          <w:color w:val="5B6B80"/>
          <w:sz w:val="19"/>
          <w:szCs w:val="19"/>
        </w:rPr>
        <w:t>Nature : rationnelle / émotionnelle / politique. Une résistance rationnelle est une information sur un défaut réel du produit : notez ce qu'elle vous apprend et la réponse produit (pas seulement un discours).</w:t>
      </w:r>
    </w:p>
    <w:p>
      <w:pPr>
        <w:pStyle w:val="Normal"/>
        <w:spacing w:lineRule="auto" w:line="276" w:before="0" w:after="120"/>
        <w:rPr/>
      </w:pPr>
      <w:r>
        <w:rPr>
          <w:rFonts w:eastAsia="Calibri" w:cs="Calibri"/>
          <w:b/>
          <w:bCs/>
          <w:color w:val="0B4F9C"/>
          <w:sz w:val="21"/>
          <w:szCs w:val="21"/>
        </w:rPr>
        <w:t>Résistances internes</w:t>
      </w:r>
    </w:p>
    <w:tbl>
      <w:tblPr>
        <w:tblW w:w="9638" w:type="dxa"/>
        <w:jc w:val="start"/>
        <w:tblInd w:w="0" w:type="dxa"/>
        <w:tblLayout w:type="fixed"/>
        <w:tblCellMar>
          <w:top w:w="60" w:type="dxa"/>
          <w:start w:w="100" w:type="dxa"/>
          <w:bottom w:w="60" w:type="dxa"/>
          <w:end w:w="100" w:type="dxa"/>
        </w:tblCellMar>
      </w:tblPr>
      <w:tblGrid>
        <w:gridCol w:w="2500"/>
        <w:gridCol w:w="1399"/>
        <w:gridCol w:w="5739"/>
      </w:tblGrid>
      <w:tr>
        <w:trPr>
          <w:tblHeader w:val="true"/>
        </w:trPr>
        <w:tc>
          <w:tcPr>
            <w:tcW w:w="2500"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Résistance</w:t>
            </w:r>
          </w:p>
        </w:tc>
        <w:tc>
          <w:tcPr>
            <w:tcW w:w="1399"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Nature</w:t>
            </w:r>
          </w:p>
        </w:tc>
        <w:tc>
          <w:tcPr>
            <w:tcW w:w="5739"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Réponse proposée</w:t>
            </w:r>
          </w:p>
        </w:tc>
      </w:tr>
      <w:tr>
        <w:trPr/>
        <w:tc>
          <w:tcPr>
            <w:tcW w:w="2500"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 xml:space="preserve">Les nutritionnistes pointent que l'assistant IA peut halluciner ou généraliser une substitution nutritionnellement risquée pour un cas médical spécifique (ex : substitut riche en potassium pour un insuffisant rénal) </w:t>
            </w:r>
          </w:p>
        </w:tc>
        <w:tc>
          <w:tcPr>
            <w:tcW w:w="1399"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Rationnelle</w:t>
            </w:r>
          </w:p>
        </w:tc>
        <w:tc>
          <w:tcPr>
            <w:tcW w:w="573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Style w:val="Strong"/>
              </w:rPr>
              <w:t>Ce que ça apprend :</w:t>
            </w:r>
            <w:r>
              <w:rPr/>
              <w:t xml:space="preserve"> le moteur de substitution ne doit pas raisonner uniquement sur nutriscore/additifs génériques </w:t>
            </w:r>
            <w:r>
              <w:rPr/>
              <w:t>i</w:t>
            </w:r>
            <w:r>
              <w:rPr/>
              <w:t xml:space="preserve">l lui </w:t>
            </w:r>
            <w:r>
              <w:rPr/>
              <w:t>faux</w:t>
            </w:r>
            <w:r>
              <w:rPr/>
              <w:t xml:space="preserve"> une couche de contre-indications médicales.</w:t>
            </w:r>
          </w:p>
          <w:p>
            <w:pPr>
              <w:pStyle w:val="Normal"/>
              <w:spacing w:lineRule="auto" w:line="264" w:before="0" w:after="40"/>
              <w:rPr/>
            </w:pPr>
            <w:r>
              <w:rPr>
                <w:rStyle w:val="Strong"/>
              </w:rPr>
              <w:t>Réponse produit :</w:t>
            </w:r>
            <w:r>
              <w:rPr/>
              <w:t xml:space="preserve"> ajouter un champ "pathologies déclarées" au profil utilisateur qui filtre en amont les substitutions à risque, avec un message explicite "non substituable pour votre profil" plutôt qu'un silence </w:t>
            </w:r>
          </w:p>
          <w:p>
            <w:pPr>
              <w:pStyle w:val="Normal"/>
              <w:spacing w:before="0" w:after="40"/>
              <w:rPr/>
            </w:pPr>
            <w:r>
              <w:rPr/>
            </w:r>
          </w:p>
          <w:p>
            <w:pPr>
              <w:pStyle w:val="Normal"/>
              <w:spacing w:before="0" w:after="40"/>
              <w:rPr/>
            </w:pPr>
            <w:r>
              <w:rPr/>
            </w:r>
          </w:p>
        </w:tc>
      </w:tr>
      <w:tr>
        <w:trPr/>
        <w:tc>
          <w:tcPr>
            <w:tcW w:w="2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La communauté OpenFoodFacts redoute que NutriScope exploite commercialement des données collectées bénévolement sans réciprocité (pas de reversement de corrections, pas de contribution en retour)</w:t>
            </w:r>
          </w:p>
        </w:tc>
        <w:tc>
          <w:tcPr>
            <w:tcW w:w="1399"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Emotionnelle</w:t>
            </w:r>
          </w:p>
        </w:tc>
        <w:tc>
          <w:tcPr>
            <w:tcW w:w="573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Style w:val="Strong"/>
              </w:rPr>
              <w:t>Ce que ça apprend :</w:t>
            </w:r>
            <w:r>
              <w:rPr/>
              <w:t xml:space="preserve"> la méfiance de la communauté n'est pas qu'un sentiment à rassurer, elle pointe un vrai trou dans le produit : NutriScope n'a </w:t>
            </w:r>
            <w:r>
              <w:rPr>
                <w:rStyle w:val="Strong"/>
                <w:b w:val="false"/>
                <w:bCs w:val="false"/>
              </w:rPr>
              <w:t>aucune boucle de contribution retour intégrée nativement</w:t>
            </w:r>
            <w:r>
              <w:rPr>
                <w:b w:val="false"/>
                <w:bCs w:val="false"/>
              </w:rPr>
              <w:t xml:space="preserve">. </w:t>
            </w:r>
          </w:p>
          <w:p>
            <w:pPr>
              <w:pStyle w:val="Normal"/>
              <w:spacing w:lineRule="auto" w:line="264" w:before="0" w:after="40"/>
              <w:rPr>
                <w:b/>
                <w:bCs/>
              </w:rPr>
            </w:pPr>
            <w:r>
              <w:rPr>
                <w:b/>
                <w:bCs/>
              </w:rPr>
              <w:t>Réponse produit :</w:t>
            </w:r>
          </w:p>
          <w:p>
            <w:pPr>
              <w:pStyle w:val="Normal"/>
              <w:spacing w:lineRule="auto" w:line="264" w:before="0" w:after="40"/>
              <w:rPr/>
            </w:pPr>
            <w:r>
              <w:rPr/>
              <w:t xml:space="preserve">Mettre en place un mécanisme de contribution retour automatique : toute correction ou signalement fait via NutriScope est repoussé vers la base OFF, et le communiquer visiblement dans l'app ("Vos corrections enrichissent OpenFoodFacts") </w:t>
            </w:r>
          </w:p>
        </w:tc>
      </w:tr>
      <w:tr>
        <w:trPr/>
        <w:tc>
          <w:tcPr>
            <w:tcW w:w="2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Les industriels agroalimentaires craignent que l'IA mette systématiquement en avant des produits concurrents moins chers ou mieux notés, au détriment de leurs marques référencées </w:t>
            </w:r>
          </w:p>
        </w:tc>
        <w:tc>
          <w:tcPr>
            <w:tcW w:w="1399"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Politique</w:t>
            </w:r>
          </w:p>
          <w:p>
            <w:pPr>
              <w:pStyle w:val="Normal"/>
              <w:spacing w:before="0" w:after="40"/>
              <w:rPr/>
            </w:pPr>
            <w:r>
              <w:rPr/>
            </w:r>
          </w:p>
        </w:tc>
        <w:tc>
          <w:tcPr>
            <w:tcW w:w="573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Style w:val="Strong"/>
              </w:rPr>
              <w:t>Ce que ça apprend :</w:t>
            </w:r>
            <w:r>
              <w:rPr/>
              <w:t xml:space="preserve"> </w:t>
            </w:r>
            <w:r>
              <w:rPr/>
              <w:t>cela</w:t>
            </w:r>
            <w:r>
              <w:rPr/>
              <w:t xml:space="preserve"> révèle que NutriScope n'a pas encore défini publiquement ses critères de scoring pour les substitutions. Tant que l'algorithme est une boîte noire, n'importe quel acteur peut soupçonner un biais</w:t>
            </w:r>
          </w:p>
          <w:p>
            <w:pPr>
              <w:pStyle w:val="Normal"/>
              <w:spacing w:before="0" w:after="40"/>
              <w:rPr/>
            </w:pPr>
            <w:r>
              <w:rPr>
                <w:b/>
                <w:bCs/>
              </w:rPr>
              <w:t xml:space="preserve">Réponse produit : </w:t>
            </w:r>
            <w:r>
              <w:rPr/>
              <w:t xml:space="preserve">Publier une charte de neutralité algorithmique documentant les critères de scoring (nutriscore, additifs, prix, préférence utilisateur) </w:t>
            </w:r>
          </w:p>
        </w:tc>
      </w:tr>
    </w:tbl>
    <w:p>
      <w:pPr>
        <w:pStyle w:val="Normal"/>
        <w:spacing w:before="160" w:after="120"/>
        <w:rPr/>
      </w:pPr>
      <w:r>
        <w:rPr>
          <w:rFonts w:eastAsia="Calibri" w:cs="Calibri"/>
          <w:b/>
          <w:bCs/>
          <w:color w:val="0B4F9C"/>
          <w:sz w:val="21"/>
          <w:szCs w:val="21"/>
        </w:rPr>
        <w:t>Freins utilisateurs</w:t>
      </w:r>
    </w:p>
    <w:tbl>
      <w:tblPr>
        <w:tblW w:w="9638" w:type="dxa"/>
        <w:jc w:val="start"/>
        <w:tblInd w:w="0" w:type="dxa"/>
        <w:tblLayout w:type="fixed"/>
        <w:tblCellMar>
          <w:top w:w="60" w:type="dxa"/>
          <w:start w:w="100" w:type="dxa"/>
          <w:bottom w:w="60" w:type="dxa"/>
          <w:end w:w="100" w:type="dxa"/>
        </w:tblCellMar>
      </w:tblPr>
      <w:tblGrid>
        <w:gridCol w:w="2500"/>
        <w:gridCol w:w="1399"/>
        <w:gridCol w:w="5739"/>
      </w:tblGrid>
      <w:tr>
        <w:trPr>
          <w:tblHeader w:val="true"/>
        </w:trPr>
        <w:tc>
          <w:tcPr>
            <w:tcW w:w="2500"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Frein</w:t>
            </w:r>
          </w:p>
        </w:tc>
        <w:tc>
          <w:tcPr>
            <w:tcW w:w="1399"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Nature</w:t>
            </w:r>
          </w:p>
        </w:tc>
        <w:tc>
          <w:tcPr>
            <w:tcW w:w="5739"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Réponse proposée</w:t>
            </w:r>
          </w:p>
        </w:tc>
      </w:tr>
      <w:tr>
        <w:trPr/>
        <w:tc>
          <w:tcPr>
            <w:tcW w:w="2500"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 xml:space="preserve">L'utilisateur diabétique ne fait pas confiance à une IA pour une recommandation </w:t>
            </w:r>
            <w:r>
              <w:rPr/>
              <w:t>qui peut impacter sa santé</w:t>
            </w:r>
            <w:r>
              <w:rPr/>
              <w:t xml:space="preserve">, après avoir vu des exemples d'IA générative qui se trompent </w:t>
            </w:r>
          </w:p>
        </w:tc>
        <w:tc>
          <w:tcPr>
            <w:tcW w:w="139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Émotionnelle </w:t>
            </w:r>
          </w:p>
          <w:p>
            <w:pPr>
              <w:pStyle w:val="Normal"/>
              <w:spacing w:before="0" w:after="40"/>
              <w:rPr/>
            </w:pPr>
            <w:r>
              <w:rPr/>
            </w:r>
          </w:p>
          <w:p>
            <w:pPr>
              <w:pStyle w:val="Normal"/>
              <w:spacing w:before="0" w:after="40"/>
              <w:rPr/>
            </w:pPr>
            <w:r>
              <w:rPr/>
            </w:r>
          </w:p>
        </w:tc>
        <w:tc>
          <w:tcPr>
            <w:tcW w:w="573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b/>
                <w:bCs/>
              </w:rPr>
            </w:pPr>
            <w:r>
              <w:rPr>
                <w:b/>
                <w:bCs/>
              </w:rPr>
              <w:t xml:space="preserve">Ce que ça apprend : </w:t>
            </w:r>
            <w:r>
              <w:rPr>
                <w:b w:val="false"/>
                <w:bCs w:val="false"/>
              </w:rPr>
              <w:t>manque de transparence sur le système de subsitution</w:t>
            </w:r>
          </w:p>
          <w:p>
            <w:pPr>
              <w:pStyle w:val="Normal"/>
              <w:spacing w:lineRule="auto" w:line="264" w:before="0" w:after="40"/>
              <w:rPr>
                <w:b/>
                <w:bCs/>
              </w:rPr>
            </w:pPr>
            <w:r>
              <w:rPr>
                <w:b/>
                <w:bCs/>
              </w:rPr>
              <w:t>Réponse produit :</w:t>
            </w:r>
          </w:p>
          <w:p>
            <w:pPr>
              <w:pStyle w:val="Normal"/>
              <w:spacing w:before="0" w:after="40"/>
              <w:rPr/>
            </w:pPr>
            <w:r>
              <w:rPr/>
              <w:t xml:space="preserve">Afficher systématiquement la source et la logique de chaque substitution ("Suggéré car : index glycémique plus bas, valeurs nettes ci-dessous") plutôt qu'une réponse IA opaque, et ajouter un bouton "signaler cette suggestion" visible à chaque fois </w:t>
            </w:r>
          </w:p>
        </w:tc>
      </w:tr>
      <w:tr>
        <w:trPr/>
        <w:tc>
          <w:tcPr>
            <w:tcW w:w="2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L'étudiant au budget serré teste l'app, trouve de bonnes substitutions nutritionnelles, mais elles sont systématiquement plus chères que le produit scanné (le prix n'est pas dans les critères par défaut) </w:t>
            </w:r>
          </w:p>
        </w:tc>
        <w:tc>
          <w:tcPr>
            <w:tcW w:w="139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Rationnelle </w:t>
            </w:r>
          </w:p>
          <w:p>
            <w:pPr>
              <w:pStyle w:val="Normal"/>
              <w:spacing w:before="0" w:after="40"/>
              <w:rPr/>
            </w:pPr>
            <w:r>
              <w:rPr/>
            </w:r>
          </w:p>
          <w:p>
            <w:pPr>
              <w:pStyle w:val="Normal"/>
              <w:spacing w:before="0" w:after="40"/>
              <w:rPr/>
            </w:pPr>
            <w:r>
              <w:rPr/>
            </w:r>
          </w:p>
        </w:tc>
        <w:tc>
          <w:tcPr>
            <w:tcW w:w="5739"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rStyle w:val="Strong"/>
              </w:rPr>
              <w:t>Ce que ça apprend :</w:t>
            </w:r>
            <w:r>
              <w:rPr/>
              <w:t xml:space="preserve"> le moteur de substitution optimise sur des critères </w:t>
            </w:r>
            <w:r>
              <w:rPr/>
              <w:t>nutrition/</w:t>
            </w:r>
            <w:r>
              <w:rPr/>
              <w:t>santé sans intégrer de contrainte budgétaire, donc il n'est pas utilisable pour une partie d</w:t>
            </w:r>
            <w:r>
              <w:rPr/>
              <w:t>e la cible</w:t>
            </w:r>
          </w:p>
          <w:p>
            <w:pPr>
              <w:pStyle w:val="Normal"/>
              <w:spacing w:before="0" w:after="40"/>
              <w:rPr/>
            </w:pPr>
            <w:r>
              <w:rPr>
                <w:rStyle w:val="Strong"/>
              </w:rPr>
              <w:t>Réponse produit :</w:t>
            </w:r>
            <w:r>
              <w:rPr/>
              <w:t xml:space="preserve"> ajouter le prix comme critère dans le profil (curseur "priorité santé / priorité budget") et l'inclure dans le calcul de score par défaut, pas en option cachée </w:t>
            </w:r>
          </w:p>
        </w:tc>
      </w:tr>
      <w:tr>
        <w:trPr/>
        <w:tc>
          <w:tcPr>
            <w:tcW w:w="25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Le parent pressé abandonne le scan en rayon car le temps de génération de la suggestion IA est trop long pour un usage en magasin </w:t>
            </w:r>
          </w:p>
        </w:tc>
        <w:tc>
          <w:tcPr>
            <w:tcW w:w="139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Rationnelle </w:t>
            </w:r>
          </w:p>
          <w:p>
            <w:pPr>
              <w:pStyle w:val="Normal"/>
              <w:spacing w:before="0" w:after="40"/>
              <w:rPr/>
            </w:pPr>
            <w:r>
              <w:rPr/>
            </w:r>
          </w:p>
          <w:p>
            <w:pPr>
              <w:pStyle w:val="Normal"/>
              <w:spacing w:before="0" w:after="40"/>
              <w:rPr/>
            </w:pPr>
            <w:r>
              <w:rPr/>
            </w:r>
          </w:p>
        </w:tc>
        <w:tc>
          <w:tcPr>
            <w:tcW w:w="573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Style w:val="Strong"/>
              </w:rPr>
              <w:t>Ce que ça apprend :</w:t>
            </w:r>
            <w:r>
              <w:rPr/>
              <w:t xml:space="preserve"> la latence de l'assistant n'a pas été pensée pour le contexte réel d'usage (debout, en rayon, pression du temps)</w:t>
            </w:r>
          </w:p>
          <w:p>
            <w:pPr>
              <w:pStyle w:val="Normal"/>
              <w:spacing w:lineRule="auto" w:line="264" w:before="0" w:after="40"/>
              <w:rPr/>
            </w:pPr>
            <w:r>
              <w:rPr>
                <w:rStyle w:val="Strong"/>
              </w:rPr>
              <w:t>Réponse produit :</w:t>
            </w:r>
            <w:r>
              <w:rPr/>
              <w:t xml:space="preserve"> pré-calculer et mettre en cache les substitutions les plus fréquentes par catégorie de produit, et afficher une suggestion instantanée basée sur des règles simples pendant que le calcul IA plus fin se charge en arrière-plan </w:t>
            </w:r>
          </w:p>
        </w:tc>
      </w:tr>
    </w:tbl>
    <w:p>
      <w:pPr>
        <w:pStyle w:val="Heading1"/>
        <w:rPr/>
      </w:pPr>
      <w:r>
        <w:rPr/>
        <w:t>3. Plan d'adoption en trois volets</w:t>
      </w:r>
    </w:p>
    <w:p>
      <w:pPr>
        <w:pStyle w:val="Normal"/>
        <w:spacing w:lineRule="auto" w:line="276" w:before="0" w:after="120"/>
        <w:rPr/>
      </w:pPr>
      <w:r>
        <w:rPr>
          <w:rFonts w:eastAsia="Calibri" w:cs="Calibri"/>
          <w:i/>
          <w:iCs/>
          <w:color w:val="5B6B80"/>
          <w:sz w:val="19"/>
          <w:szCs w:val="19"/>
        </w:rPr>
        <w:t>Le message central dit ce que NutriScope fait ET ce qu'il ne fait pas. Chaque action est reliée à un stade ADKAR (Awareness, Desire, Knowledge, Ability, Reinforcement) et positionnée sur le calendrier réel du projet (jalons J5 à J7).</w:t>
      </w:r>
    </w:p>
    <w:p>
      <w:pPr>
        <w:pStyle w:val="Normal"/>
        <w:spacing w:lineRule="auto" w:line="276" w:before="0" w:after="120"/>
        <w:rPr/>
      </w:pPr>
      <w:r>
        <w:rPr>
          <w:rFonts w:eastAsia="Calibri" w:cs="Calibri"/>
          <w:b/>
          <w:bCs/>
          <w:color w:val="1B2536"/>
          <w:sz w:val="21"/>
          <w:szCs w:val="21"/>
        </w:rPr>
        <w:t>Message central du produit</w:t>
      </w:r>
    </w:p>
    <w:tbl>
      <w:tblPr>
        <w:tblW w:w="9638" w:type="dxa"/>
        <w:jc w:val="start"/>
        <w:tblInd w:w="0" w:type="dxa"/>
        <w:tblLayout w:type="fixed"/>
        <w:tblCellMar>
          <w:top w:w="60" w:type="dxa"/>
          <w:start w:w="100" w:type="dxa"/>
          <w:bottom w:w="60" w:type="dxa"/>
          <w:end w:w="100" w:type="dxa"/>
        </w:tblCellMar>
      </w:tblPr>
      <w:tblGrid>
        <w:gridCol w:w="9638"/>
      </w:tblGrid>
      <w:tr>
        <w:trPr/>
        <w:tc>
          <w:tcPr>
            <w:tcW w:w="9638" w:type="dxa"/>
            <w:tcBorders>
              <w:top w:val="single" w:sz="4" w:space="0" w:color="D5DFEC"/>
              <w:start w:val="single" w:sz="4" w:space="0" w:color="D5DFEC"/>
              <w:bottom w:val="single" w:sz="4" w:space="0" w:color="D5DFEC"/>
              <w:end w:val="single" w:sz="4" w:space="0" w:color="D5DFEC"/>
            </w:tcBorders>
          </w:tcPr>
          <w:p>
            <w:pPr>
              <w:pStyle w:val="Normal"/>
              <w:spacing w:before="0" w:after="40"/>
              <w:rPr/>
            </w:pPr>
            <w:r>
              <w:rPr/>
              <w:t xml:space="preserve">NutriScope vous aide à comprendre ce que vous mangez et à trouver mieux, selon vos propres critères, pas selon une norme universelle. Il ne remplace ni votre médecin, ni votre nutritionniste, ni votre jugement. </w:t>
            </w:r>
          </w:p>
          <w:p>
            <w:pPr>
              <w:pStyle w:val="Normal"/>
              <w:spacing w:before="0" w:after="40"/>
              <w:rPr/>
            </w:pPr>
            <w:r>
              <w:rPr/>
            </w:r>
          </w:p>
        </w:tc>
      </w:tr>
    </w:tbl>
    <w:p>
      <w:pPr>
        <w:pStyle w:val="Normal"/>
        <w:spacing w:before="0" w:after="60"/>
        <w:rPr/>
      </w:pPr>
      <w:r>
        <w:rPr/>
      </w:r>
    </w:p>
    <w:tbl>
      <w:tblPr>
        <w:tblW w:w="9638" w:type="dxa"/>
        <w:jc w:val="start"/>
        <w:tblInd w:w="0" w:type="dxa"/>
        <w:tblLayout w:type="fixed"/>
        <w:tblCellMar>
          <w:top w:w="60" w:type="dxa"/>
          <w:start w:w="100" w:type="dxa"/>
          <w:bottom w:w="60" w:type="dxa"/>
          <w:end w:w="100" w:type="dxa"/>
        </w:tblCellMar>
      </w:tblPr>
      <w:tblGrid>
        <w:gridCol w:w="1499"/>
        <w:gridCol w:w="1614"/>
        <w:gridCol w:w="3987"/>
        <w:gridCol w:w="2538"/>
      </w:tblGrid>
      <w:tr>
        <w:trPr>
          <w:tblHeader w:val="true"/>
        </w:trPr>
        <w:tc>
          <w:tcPr>
            <w:tcW w:w="1499"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Volet</w:t>
            </w:r>
          </w:p>
        </w:tc>
        <w:tc>
          <w:tcPr>
            <w:tcW w:w="1614"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Stade ADKAR</w:t>
            </w:r>
          </w:p>
        </w:tc>
        <w:tc>
          <w:tcPr>
            <w:tcW w:w="3987"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Actions NutriScope</w:t>
            </w:r>
          </w:p>
        </w:tc>
        <w:tc>
          <w:tcPr>
            <w:tcW w:w="2538"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Quand</w:t>
            </w:r>
          </w:p>
        </w:tc>
      </w:tr>
      <w:tr>
        <w:trPr/>
        <w:tc>
          <w:tcPr>
            <w:tcW w:w="149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Communiquer</w:t>
            </w:r>
          </w:p>
        </w:tc>
        <w:tc>
          <w:tcPr>
            <w:tcW w:w="1614"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Awareness</w:t>
            </w:r>
          </w:p>
          <w:p>
            <w:pPr>
              <w:pStyle w:val="Normal"/>
              <w:spacing w:before="0" w:after="40"/>
              <w:rPr/>
            </w:pPr>
            <w:r>
              <w:rPr/>
            </w:r>
          </w:p>
          <w:p>
            <w:pPr>
              <w:pStyle w:val="Normal"/>
              <w:spacing w:before="0" w:after="40"/>
              <w:rPr/>
            </w:pPr>
            <w:r>
              <w:rPr/>
            </w:r>
          </w:p>
        </w:tc>
        <w:tc>
          <w:tcPr>
            <w:tcW w:w="3987"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Publier le message central sur le site, les réseaux sociaux et en page d'accueil de l'app</w:t>
            </w:r>
          </w:p>
        </w:tc>
        <w:tc>
          <w:tcPr>
            <w:tcW w:w="253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J5</w:t>
            </w:r>
          </w:p>
          <w:p>
            <w:pPr>
              <w:pStyle w:val="Normal"/>
              <w:spacing w:before="0" w:after="40"/>
              <w:rPr/>
            </w:pPr>
            <w:r>
              <w:rPr/>
            </w:r>
          </w:p>
          <w:p>
            <w:pPr>
              <w:pStyle w:val="Normal"/>
              <w:spacing w:before="0" w:after="40"/>
              <w:rPr/>
            </w:pPr>
            <w:r>
              <w:rPr/>
            </w:r>
          </w:p>
        </w:tc>
      </w:tr>
      <w:tr>
        <w:trPr/>
        <w:tc>
          <w:tcPr>
            <w:tcW w:w="1499" w:type="dxa"/>
            <w:tcBorders>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Communiquer</w:t>
            </w:r>
          </w:p>
        </w:tc>
        <w:tc>
          <w:tcPr>
            <w:tcW w:w="1614" w:type="dxa"/>
            <w:tcBorders>
              <w:start w:val="single" w:sz="4" w:space="0" w:color="D5DFEC"/>
              <w:bottom w:val="single" w:sz="4" w:space="0" w:color="D5DFEC"/>
              <w:end w:val="single" w:sz="4" w:space="0" w:color="D5DFEC"/>
            </w:tcBorders>
          </w:tcPr>
          <w:p>
            <w:pPr>
              <w:pStyle w:val="Normal"/>
              <w:spacing w:lineRule="auto" w:line="264" w:before="0" w:after="40"/>
              <w:rPr/>
            </w:pPr>
            <w:r>
              <w:rPr/>
              <w:t>Desire</w:t>
            </w:r>
          </w:p>
        </w:tc>
        <w:tc>
          <w:tcPr>
            <w:tcW w:w="3987" w:type="dxa"/>
            <w:tcBorders>
              <w:start w:val="single" w:sz="4" w:space="0" w:color="D5DFEC"/>
              <w:bottom w:val="single" w:sz="4" w:space="0" w:color="D5DFEC"/>
              <w:end w:val="single" w:sz="4" w:space="0" w:color="D5DFEC"/>
            </w:tcBorders>
          </w:tcPr>
          <w:p>
            <w:pPr>
              <w:pStyle w:val="Normal"/>
              <w:spacing w:lineRule="auto" w:line="264" w:before="0" w:after="40"/>
              <w:rPr/>
            </w:pPr>
            <w:r>
              <w:rPr/>
              <w:t xml:space="preserve">Diffuser des témoignages de beta-testeurs (parent, étudiant, diabétique) montrant des cas d'usage concrets </w:t>
            </w:r>
          </w:p>
        </w:tc>
        <w:tc>
          <w:tcPr>
            <w:tcW w:w="2538" w:type="dxa"/>
            <w:tcBorders>
              <w:start w:val="single" w:sz="4" w:space="0" w:color="D5DFEC"/>
              <w:bottom w:val="single" w:sz="4" w:space="0" w:color="D5DFEC"/>
              <w:end w:val="single" w:sz="4" w:space="0" w:color="D5DFEC"/>
            </w:tcBorders>
          </w:tcPr>
          <w:p>
            <w:pPr>
              <w:pStyle w:val="Normal"/>
              <w:spacing w:lineRule="auto" w:line="264" w:before="0" w:after="40"/>
              <w:rPr/>
            </w:pPr>
            <w:r>
              <w:rPr/>
              <w:t>J6</w:t>
            </w:r>
          </w:p>
        </w:tc>
      </w:tr>
      <w:tr>
        <w:trPr/>
        <w:tc>
          <w:tcPr>
            <w:tcW w:w="149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Accompagner</w:t>
            </w:r>
          </w:p>
          <w:p>
            <w:pPr>
              <w:pStyle w:val="Normal"/>
              <w:spacing w:before="0" w:after="40"/>
              <w:rPr/>
            </w:pPr>
            <w:r>
              <w:rPr/>
            </w:r>
          </w:p>
          <w:p>
            <w:pPr>
              <w:pStyle w:val="Normal"/>
              <w:spacing w:before="0" w:after="40"/>
              <w:rPr/>
            </w:pPr>
            <w:r>
              <w:rPr/>
            </w:r>
          </w:p>
          <w:p>
            <w:pPr>
              <w:pStyle w:val="Normal"/>
              <w:spacing w:before="0" w:after="40"/>
              <w:rPr/>
            </w:pPr>
            <w:r>
              <w:rPr/>
            </w:r>
          </w:p>
        </w:tc>
        <w:tc>
          <w:tcPr>
            <w:tcW w:w="1614"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Knowledge</w:t>
            </w:r>
          </w:p>
          <w:p>
            <w:pPr>
              <w:pStyle w:val="Normal"/>
              <w:spacing w:before="0" w:after="40"/>
              <w:rPr/>
            </w:pPr>
            <w:r>
              <w:rPr/>
            </w:r>
          </w:p>
          <w:p>
            <w:pPr>
              <w:pStyle w:val="Normal"/>
              <w:spacing w:before="0" w:after="40"/>
              <w:rPr/>
            </w:pPr>
            <w:r>
              <w:rPr/>
            </w:r>
          </w:p>
        </w:tc>
        <w:tc>
          <w:tcPr>
            <w:tcW w:w="3987"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Intégrer un tutoriel d'onboarding expliquant comment fonctionne le scoring des substitutions et ses limites </w:t>
            </w:r>
          </w:p>
          <w:p>
            <w:pPr>
              <w:pStyle w:val="Normal"/>
              <w:spacing w:before="0" w:after="40"/>
              <w:rPr/>
            </w:pPr>
            <w:r>
              <w:rPr/>
            </w:r>
          </w:p>
        </w:tc>
        <w:tc>
          <w:tcPr>
            <w:tcW w:w="253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J6</w:t>
            </w:r>
          </w:p>
          <w:p>
            <w:pPr>
              <w:pStyle w:val="Normal"/>
              <w:spacing w:before="0" w:after="40"/>
              <w:rPr/>
            </w:pPr>
            <w:r>
              <w:rPr/>
            </w:r>
          </w:p>
          <w:p>
            <w:pPr>
              <w:pStyle w:val="Normal"/>
              <w:spacing w:before="0" w:after="40"/>
              <w:rPr/>
            </w:pPr>
            <w:r>
              <w:rPr/>
            </w:r>
          </w:p>
          <w:p>
            <w:pPr>
              <w:pStyle w:val="Normal"/>
              <w:spacing w:before="0" w:after="40"/>
              <w:rPr/>
            </w:pPr>
            <w:r>
              <w:rPr/>
            </w:r>
          </w:p>
        </w:tc>
      </w:tr>
      <w:tr>
        <w:trPr/>
        <w:tc>
          <w:tcPr>
            <w:tcW w:w="1499" w:type="dxa"/>
            <w:tcBorders>
              <w:start w:val="single" w:sz="4" w:space="0" w:color="D5DFEC"/>
              <w:bottom w:val="single" w:sz="4" w:space="0" w:color="D5DFEC"/>
              <w:end w:val="single" w:sz="4" w:space="0" w:color="D5DFEC"/>
            </w:tcBorders>
          </w:tcPr>
          <w:p>
            <w:pPr>
              <w:pStyle w:val="Normal"/>
              <w:spacing w:lineRule="auto" w:line="264" w:before="0" w:after="40"/>
              <w:rPr/>
            </w:pPr>
            <w:r>
              <w:rPr/>
              <w:t>Accompagner</w:t>
            </w:r>
          </w:p>
        </w:tc>
        <w:tc>
          <w:tcPr>
            <w:tcW w:w="1614" w:type="dxa"/>
            <w:tcBorders>
              <w:start w:val="single" w:sz="4" w:space="0" w:color="D5DFEC"/>
              <w:bottom w:val="single" w:sz="4" w:space="0" w:color="D5DFEC"/>
              <w:end w:val="single" w:sz="4" w:space="0" w:color="D5DFEC"/>
            </w:tcBorders>
          </w:tcPr>
          <w:p>
            <w:pPr>
              <w:pStyle w:val="Normal"/>
              <w:spacing w:lineRule="auto" w:line="264" w:before="0" w:after="40"/>
              <w:rPr/>
            </w:pPr>
            <w:r>
              <w:rPr/>
              <w:t>Ability</w:t>
            </w:r>
          </w:p>
        </w:tc>
        <w:tc>
          <w:tcPr>
            <w:tcW w:w="3987" w:type="dxa"/>
            <w:tcBorders>
              <w:start w:val="single" w:sz="4" w:space="0" w:color="D5DFEC"/>
              <w:bottom w:val="single" w:sz="4" w:space="0" w:color="D5DFEC"/>
              <w:end w:val="single" w:sz="4" w:space="0" w:color="D5DFEC"/>
            </w:tcBorders>
          </w:tcPr>
          <w:p>
            <w:pPr>
              <w:pStyle w:val="Normal"/>
              <w:spacing w:lineRule="auto" w:line="264" w:before="0" w:after="40"/>
              <w:rPr/>
            </w:pPr>
            <w:r>
              <w:rPr/>
              <w:t xml:space="preserve">Former le support client sur les cas limites de l'assistant (FAQ interne + scripts de réponse) </w:t>
            </w:r>
          </w:p>
        </w:tc>
        <w:tc>
          <w:tcPr>
            <w:tcW w:w="2538" w:type="dxa"/>
            <w:tcBorders>
              <w:start w:val="single" w:sz="4" w:space="0" w:color="D5DFEC"/>
              <w:bottom w:val="single" w:sz="4" w:space="0" w:color="D5DFEC"/>
              <w:end w:val="single" w:sz="4" w:space="0" w:color="D5DFEC"/>
            </w:tcBorders>
          </w:tcPr>
          <w:p>
            <w:pPr>
              <w:pStyle w:val="Normal"/>
              <w:spacing w:lineRule="auto" w:line="264" w:before="0" w:after="40"/>
              <w:rPr/>
            </w:pPr>
            <w:r>
              <w:rPr/>
              <w:t>Avant J7</w:t>
            </w:r>
          </w:p>
        </w:tc>
      </w:tr>
      <w:tr>
        <w:trPr/>
        <w:tc>
          <w:tcPr>
            <w:tcW w:w="1499"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Mesurer</w:t>
            </w:r>
          </w:p>
          <w:p>
            <w:pPr>
              <w:pStyle w:val="Normal"/>
              <w:spacing w:before="0" w:after="40"/>
              <w:rPr/>
            </w:pPr>
            <w:r>
              <w:rPr/>
            </w:r>
          </w:p>
        </w:tc>
        <w:tc>
          <w:tcPr>
            <w:tcW w:w="1614"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Reinforcement</w:t>
            </w:r>
          </w:p>
          <w:p>
            <w:pPr>
              <w:pStyle w:val="Normal"/>
              <w:spacing w:before="0" w:after="40"/>
              <w:rPr/>
            </w:pPr>
            <w:r>
              <w:rPr/>
            </w:r>
          </w:p>
        </w:tc>
        <w:tc>
          <w:tcPr>
            <w:tcW w:w="3987"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Suivre en continu les KPI d'adoption (taux d'acceptation des substitutions, NPS) et publier un bilan interne mensuel </w:t>
            </w:r>
          </w:p>
        </w:tc>
        <w:tc>
          <w:tcPr>
            <w:tcW w:w="253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J7</w:t>
            </w:r>
          </w:p>
          <w:p>
            <w:pPr>
              <w:pStyle w:val="Normal"/>
              <w:spacing w:before="0" w:after="40"/>
              <w:rPr/>
            </w:pPr>
            <w:r>
              <w:rPr/>
            </w:r>
          </w:p>
        </w:tc>
      </w:tr>
    </w:tbl>
    <w:p>
      <w:pPr>
        <w:pStyle w:val="Heading1"/>
        <w:rPr/>
      </w:pPr>
      <w:r>
        <w:rPr/>
        <w:t>4. KPI d'adoption (onglet « adoption » du kpi_roi.xlsx)</w:t>
      </w:r>
    </w:p>
    <w:p>
      <w:pPr>
        <w:pStyle w:val="Normal"/>
        <w:spacing w:lineRule="auto" w:line="276" w:before="0" w:after="120"/>
        <w:rPr/>
      </w:pPr>
      <w:r>
        <w:rPr>
          <w:rFonts w:eastAsia="Calibri" w:cs="Calibri"/>
          <w:i/>
          <w:iCs/>
          <w:color w:val="5B6B80"/>
          <w:sz w:val="19"/>
          <w:szCs w:val="19"/>
        </w:rPr>
        <w:t>4 à 5 KPI avec leur définition exacte (qui compte, sur quelle période), un seuil d'alerte et le plan de relance. Attention au piège du taux d'activation ; les mesures restent collectives, jamais individuelles.</w:t>
      </w:r>
    </w:p>
    <w:tbl>
      <w:tblPr>
        <w:tblW w:w="9537" w:type="dxa"/>
        <w:jc w:val="start"/>
        <w:tblInd w:w="98" w:type="dxa"/>
        <w:tblLayout w:type="fixed"/>
        <w:tblCellMar>
          <w:top w:w="60" w:type="dxa"/>
          <w:start w:w="100" w:type="dxa"/>
          <w:bottom w:w="60" w:type="dxa"/>
          <w:end w:w="100" w:type="dxa"/>
        </w:tblCellMar>
      </w:tblPr>
      <w:tblGrid>
        <w:gridCol w:w="1900"/>
        <w:gridCol w:w="3200"/>
        <w:gridCol w:w="1700"/>
        <w:gridCol w:w="2737"/>
      </w:tblGrid>
      <w:tr>
        <w:trPr>
          <w:tblHeader w:val="true"/>
        </w:trPr>
        <w:tc>
          <w:tcPr>
            <w:tcW w:w="1900"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KPI</w:t>
            </w:r>
          </w:p>
        </w:tc>
        <w:tc>
          <w:tcPr>
            <w:tcW w:w="3200"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Définition exacte</w:t>
            </w:r>
          </w:p>
        </w:tc>
        <w:tc>
          <w:tcPr>
            <w:tcW w:w="1700"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Seuil d'alerte</w:t>
            </w:r>
          </w:p>
        </w:tc>
        <w:tc>
          <w:tcPr>
            <w:tcW w:w="2737"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Plan de relance</w:t>
            </w:r>
          </w:p>
        </w:tc>
      </w:tr>
      <w:tr>
        <w:trPr/>
        <w:tc>
          <w:tcPr>
            <w:tcW w:w="19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Utilisateurs Actifs Mensuels </w:t>
            </w:r>
          </w:p>
        </w:tc>
        <w:tc>
          <w:tcPr>
            <w:tcW w:w="32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Nombre d'utilisateurs uniques ayant réalisé au moins une action significative (scan, recherche, consultation de fiche produit) sur les 30 derniers jours glissants </w:t>
            </w:r>
          </w:p>
        </w:tc>
        <w:tc>
          <w:tcPr>
            <w:tcW w:w="17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Baisse de plus de 10 % en glissement mensuel sur 2 mois consécutifs </w:t>
            </w:r>
          </w:p>
        </w:tc>
        <w:tc>
          <w:tcPr>
            <w:tcW w:w="2737"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Analyser la cohorte perdue (nouveaux vs anciens utilisateurs), relancer par notification push segmentée + email "vos derniers produits scannés" à J+14 d'inactivité </w:t>
            </w:r>
          </w:p>
        </w:tc>
      </w:tr>
      <w:tr>
        <w:trPr/>
        <w:tc>
          <w:tcPr>
            <w:tcW w:w="19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Volume de scans </w:t>
            </w:r>
          </w:p>
          <w:p>
            <w:pPr>
              <w:pStyle w:val="Normal"/>
              <w:spacing w:before="0" w:after="40"/>
              <w:rPr/>
            </w:pPr>
            <w:r>
              <w:rPr/>
            </w:r>
          </w:p>
          <w:p>
            <w:pPr>
              <w:pStyle w:val="Normal"/>
              <w:spacing w:before="0" w:after="40"/>
              <w:rPr/>
            </w:pPr>
            <w:r>
              <w:rPr/>
            </w:r>
          </w:p>
        </w:tc>
        <w:tc>
          <w:tcPr>
            <w:tcW w:w="32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Nombre total de scans de codes-barres effectués (réussis ou non) sur la période, tous utilisateurs confondus </w:t>
            </w:r>
          </w:p>
        </w:tc>
        <w:tc>
          <w:tcPr>
            <w:tcW w:w="17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Moins de 3 scans/utilisateur actif/semaine en moyenne </w:t>
            </w:r>
          </w:p>
        </w:tc>
        <w:tc>
          <w:tcPr>
            <w:tcW w:w="2737"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Auditer le taux de scan réussi (KPI existant) pour écarter un problème technique, puis pousser une notification contextuelle géolocalisée type "vous êtes en magasin ?" si opt-in localisation activé </w:t>
            </w:r>
          </w:p>
        </w:tc>
      </w:tr>
      <w:tr>
        <w:trPr/>
        <w:tc>
          <w:tcPr>
            <w:tcW w:w="19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Acquisition mensuelle </w:t>
            </w:r>
          </w:p>
          <w:p>
            <w:pPr>
              <w:pStyle w:val="Normal"/>
              <w:spacing w:before="0" w:after="40"/>
              <w:rPr/>
            </w:pPr>
            <w:r>
              <w:rPr/>
            </w:r>
          </w:p>
          <w:p>
            <w:pPr>
              <w:pStyle w:val="Normal"/>
              <w:spacing w:before="0" w:after="40"/>
              <w:rPr/>
            </w:pPr>
            <w:r>
              <w:rPr/>
            </w:r>
          </w:p>
        </w:tc>
        <w:tc>
          <w:tcPr>
            <w:tcW w:w="32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Nombre de nouveaux comptes créés et activés (première action complétée, pas juste inscription) sur le mois </w:t>
            </w:r>
          </w:p>
        </w:tc>
        <w:tc>
          <w:tcPr>
            <w:tcW w:w="17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Moins de 500 nouveaux utilisateurs activés/mois (à ajuster selon objectif) </w:t>
            </w:r>
          </w:p>
          <w:p>
            <w:pPr>
              <w:pStyle w:val="Normal"/>
              <w:spacing w:before="0" w:after="40"/>
              <w:rPr/>
            </w:pPr>
            <w:r>
              <w:rPr/>
            </w:r>
          </w:p>
        </w:tc>
        <w:tc>
          <w:tcPr>
            <w:tcW w:w="2737"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Revoir les canaux d'acquisition sous-performants (comparer coût par canal), renforcer le message central sur les canaux les plus convertisseurs identifiés </w:t>
            </w:r>
          </w:p>
        </w:tc>
      </w:tr>
      <w:tr>
        <w:trPr/>
        <w:tc>
          <w:tcPr>
            <w:tcW w:w="19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 d'utilisation de l'assistant </w:t>
            </w:r>
          </w:p>
          <w:p>
            <w:pPr>
              <w:pStyle w:val="Normal"/>
              <w:spacing w:before="0" w:after="40"/>
              <w:rPr/>
            </w:pPr>
            <w:r>
              <w:rPr/>
            </w:r>
          </w:p>
          <w:p>
            <w:pPr>
              <w:pStyle w:val="Normal"/>
              <w:spacing w:before="0" w:after="40"/>
              <w:rPr/>
            </w:pPr>
            <w:r>
              <w:rPr/>
            </w:r>
          </w:p>
        </w:tc>
        <w:tc>
          <w:tcPr>
            <w:tcW w:w="32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Utilisateurs ayant sollicité au moins une suggestion de substitution / 30j) </w:t>
            </w:r>
          </w:p>
          <w:p>
            <w:pPr>
              <w:pStyle w:val="Normal"/>
              <w:spacing w:before="0" w:after="40"/>
              <w:rPr/>
            </w:pPr>
            <w:r>
              <w:rPr/>
            </w:r>
          </w:p>
          <w:p>
            <w:pPr>
              <w:pStyle w:val="Normal"/>
              <w:spacing w:before="0" w:after="40"/>
              <w:rPr/>
            </w:pPr>
            <w:r>
              <w:rPr/>
            </w:r>
          </w:p>
        </w:tc>
        <w:tc>
          <w:tcPr>
            <w:tcW w:w="17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
          </w:p>
          <w:p>
            <w:pPr>
              <w:pStyle w:val="Normal"/>
              <w:spacing w:before="0" w:after="40"/>
              <w:rPr/>
            </w:pPr>
            <w:r>
              <w:rPr/>
              <w:t xml:space="preserve">Moins de 20 % des utilisateurs actifs ont utilisé l'assistant sur le mois </w:t>
            </w:r>
          </w:p>
          <w:p>
            <w:pPr>
              <w:pStyle w:val="Normal"/>
              <w:spacing w:before="0" w:after="40"/>
              <w:rPr/>
            </w:pPr>
            <w:r>
              <w:rPr/>
            </w:r>
          </w:p>
        </w:tc>
        <w:tc>
          <w:tcPr>
            <w:tcW w:w="2737"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
          </w:p>
          <w:p>
            <w:pPr>
              <w:pStyle w:val="Normal"/>
              <w:spacing w:before="0" w:after="40"/>
              <w:rPr/>
            </w:pPr>
            <w:r>
              <w:rPr/>
              <w:t>Revoir la visibilité de l'entrée point (</w:t>
            </w:r>
            <w:r>
              <w:rPr/>
              <w:t>Appel a action</w:t>
            </w:r>
            <w:r>
              <w:rPr/>
              <w:t xml:space="preserve"> plus visible sur la fiche produit), ajouter un onboarding contextuel au 2e scan invitant à tester l'assistant </w:t>
            </w:r>
          </w:p>
        </w:tc>
      </w:tr>
      <w:tr>
        <w:trPr/>
        <w:tc>
          <w:tcPr>
            <w:tcW w:w="19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Taux de substitution acceptée </w:t>
            </w:r>
          </w:p>
          <w:p>
            <w:pPr>
              <w:pStyle w:val="Normal"/>
              <w:spacing w:before="0" w:after="40"/>
              <w:rPr/>
            </w:pPr>
            <w:r>
              <w:rPr/>
            </w:r>
          </w:p>
          <w:p>
            <w:pPr>
              <w:pStyle w:val="Normal"/>
              <w:spacing w:before="0" w:after="40"/>
              <w:rPr/>
            </w:pPr>
            <w:r>
              <w:rPr/>
            </w:r>
          </w:p>
        </w:tc>
        <w:tc>
          <w:tcPr>
            <w:tcW w:w="32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Substitutions cliquées, ajoutées en favori ou recherchées ensuite / Substitutions proposées par l'assistant</w:t>
            </w:r>
          </w:p>
          <w:p>
            <w:pPr>
              <w:pStyle w:val="Normal"/>
              <w:spacing w:before="0" w:after="40"/>
              <w:rPr/>
            </w:pPr>
            <w:r>
              <w:rPr/>
            </w:r>
          </w:p>
          <w:p>
            <w:pPr>
              <w:pStyle w:val="Normal"/>
              <w:spacing w:before="0" w:after="40"/>
              <w:rPr/>
            </w:pPr>
            <w:r>
              <w:rPr/>
            </w:r>
          </w:p>
        </w:tc>
        <w:tc>
          <w:tcPr>
            <w:tcW w:w="17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Moins de 15 % de taux d'acceptation </w:t>
            </w:r>
          </w:p>
          <w:p>
            <w:pPr>
              <w:pStyle w:val="Normal"/>
              <w:spacing w:before="0" w:after="40"/>
              <w:rPr/>
            </w:pPr>
            <w:r>
              <w:rPr/>
            </w:r>
          </w:p>
          <w:p>
            <w:pPr>
              <w:pStyle w:val="Normal"/>
              <w:spacing w:before="0" w:after="40"/>
              <w:rPr/>
            </w:pPr>
            <w:r>
              <w:rPr/>
            </w:r>
          </w:p>
        </w:tc>
        <w:tc>
          <w:tcPr>
            <w:tcW w:w="2737"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Analyser un échantillon de suggestions rejetées avec l'équipe data/IA pour identifier un biais de pertinence (prix, goût, disponibilité), ajuster les critères de scoring </w:t>
            </w:r>
          </w:p>
        </w:tc>
      </w:tr>
      <w:tr>
        <w:trPr/>
        <w:tc>
          <w:tcPr>
            <w:tcW w:w="1900" w:type="dxa"/>
            <w:tcBorders>
              <w:start w:val="single" w:sz="4" w:space="0" w:color="D5DFEC"/>
              <w:bottom w:val="single" w:sz="4" w:space="0" w:color="D5DFEC"/>
              <w:end w:val="single" w:sz="4" w:space="0" w:color="D5DFEC"/>
            </w:tcBorders>
          </w:tcPr>
          <w:p>
            <w:pPr>
              <w:pStyle w:val="Normal"/>
              <w:spacing w:lineRule="auto" w:line="264" w:before="0" w:after="40"/>
              <w:rPr/>
            </w:pPr>
            <w:r>
              <w:rPr/>
              <w:t>% de passage au Premium</w:t>
            </w:r>
          </w:p>
        </w:tc>
        <w:tc>
          <w:tcPr>
            <w:tcW w:w="3200" w:type="dxa"/>
            <w:tcBorders>
              <w:start w:val="single" w:sz="4" w:space="0" w:color="D5DFEC"/>
              <w:bottom w:val="single" w:sz="4" w:space="0" w:color="D5DFEC"/>
              <w:end w:val="single" w:sz="4" w:space="0" w:color="D5DFEC"/>
            </w:tcBorders>
          </w:tcPr>
          <w:p>
            <w:pPr>
              <w:pStyle w:val="Normal"/>
              <w:spacing w:lineRule="auto" w:line="264" w:before="0" w:after="40"/>
              <w:rPr/>
            </w:pPr>
            <w:r>
              <w:rPr/>
              <w:t xml:space="preserve">Utilisateurs ayant souscrit à l'offre premium </w:t>
            </w:r>
          </w:p>
        </w:tc>
        <w:tc>
          <w:tcPr>
            <w:tcW w:w="1700" w:type="dxa"/>
            <w:tcBorders>
              <w:start w:val="single" w:sz="4" w:space="0" w:color="D5DFEC"/>
              <w:bottom w:val="single" w:sz="4" w:space="0" w:color="D5DFEC"/>
              <w:end w:val="single" w:sz="4" w:space="0" w:color="D5DFEC"/>
            </w:tcBorders>
          </w:tcPr>
          <w:p>
            <w:pPr>
              <w:pStyle w:val="Normal"/>
              <w:spacing w:lineRule="auto" w:line="264" w:before="0" w:after="40"/>
              <w:rPr/>
            </w:pPr>
            <w:r>
              <w:rPr/>
              <w:t xml:space="preserve">Moins de 2 % de conversion sur un mois </w:t>
            </w:r>
          </w:p>
        </w:tc>
        <w:tc>
          <w:tcPr>
            <w:tcW w:w="2737" w:type="dxa"/>
            <w:tcBorders>
              <w:start w:val="single" w:sz="4" w:space="0" w:color="D5DFEC"/>
              <w:bottom w:val="single" w:sz="4" w:space="0" w:color="D5DFEC"/>
              <w:end w:val="single" w:sz="4" w:space="0" w:color="D5DFEC"/>
            </w:tcBorders>
          </w:tcPr>
          <w:p>
            <w:pPr>
              <w:pStyle w:val="Normal"/>
              <w:spacing w:lineRule="auto" w:line="264" w:before="0" w:after="40"/>
              <w:rPr/>
            </w:pPr>
            <w:r>
              <w:rPr/>
              <w:t xml:space="preserve">Tester une offre d'essai gratuit limité dans le temps, ou déclencher une proposition premium contextuelle au moment où l'utilisateur atteint une limite du plan gratuit (ex : nombre de substitutions/mois) </w:t>
            </w:r>
          </w:p>
        </w:tc>
      </w:tr>
    </w:tbl>
    <w:p>
      <w:pPr>
        <w:pStyle w:val="Heading1"/>
        <w:rPr/>
      </w:pPr>
      <w:r>
        <w:rPr/>
        <w:t>5. Dispositif d'ancrage</w:t>
      </w:r>
    </w:p>
    <w:p>
      <w:pPr>
        <w:pStyle w:val="Normal"/>
        <w:spacing w:lineRule="auto" w:line="276" w:before="0" w:after="120"/>
        <w:rPr/>
      </w:pPr>
      <w:r>
        <w:rPr>
          <w:rFonts w:eastAsia="Calibri" w:cs="Calibri"/>
          <w:i/>
          <w:iCs/>
          <w:color w:val="5B6B80"/>
          <w:sz w:val="19"/>
          <w:szCs w:val="19"/>
        </w:rPr>
        <w:t>Décrivez un dispositif qui survit à la fin du projet : qui, à quelle fréquence, avec quel livrable.</w:t>
      </w:r>
    </w:p>
    <w:tbl>
      <w:tblPr>
        <w:tblW w:w="9638" w:type="dxa"/>
        <w:jc w:val="start"/>
        <w:tblInd w:w="0" w:type="dxa"/>
        <w:tblLayout w:type="fixed"/>
        <w:tblCellMar>
          <w:top w:w="60" w:type="dxa"/>
          <w:start w:w="100" w:type="dxa"/>
          <w:bottom w:w="60" w:type="dxa"/>
          <w:end w:w="100" w:type="dxa"/>
        </w:tblCellMar>
      </w:tblPr>
      <w:tblGrid>
        <w:gridCol w:w="2200"/>
        <w:gridCol w:w="7438"/>
      </w:tblGrid>
      <w:tr>
        <w:trPr>
          <w:tblHeader w:val="true"/>
        </w:trPr>
        <w:tc>
          <w:tcPr>
            <w:tcW w:w="2200"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Élément</w:t>
            </w:r>
          </w:p>
        </w:tc>
        <w:tc>
          <w:tcPr>
            <w:tcW w:w="7438" w:type="dxa"/>
            <w:tcBorders>
              <w:top w:val="single" w:sz="4" w:space="0" w:color="D5DFEC"/>
              <w:start w:val="single" w:sz="4" w:space="0" w:color="D5DFEC"/>
              <w:bottom w:val="single" w:sz="4" w:space="0" w:color="D5DFEC"/>
              <w:end w:val="single" w:sz="4" w:space="0" w:color="D5DFEC"/>
            </w:tcBorders>
            <w:shd w:fill="0B4F9C" w:val="clear"/>
          </w:tcPr>
          <w:p>
            <w:pPr>
              <w:pStyle w:val="Normal"/>
              <w:spacing w:lineRule="auto" w:line="264" w:before="0" w:after="40"/>
              <w:rPr/>
            </w:pPr>
            <w:r>
              <w:rPr>
                <w:rFonts w:eastAsia="Calibri" w:cs="Calibri"/>
                <w:b/>
                <w:bCs/>
                <w:color w:val="FFFFFF"/>
                <w:sz w:val="21"/>
                <w:szCs w:val="21"/>
              </w:rPr>
              <w:t>Description</w:t>
            </w:r>
          </w:p>
        </w:tc>
      </w:tr>
      <w:tr>
        <w:trPr/>
        <w:tc>
          <w:tcPr>
            <w:tcW w:w="22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Ambassadeurs</w:t>
            </w:r>
          </w:p>
          <w:p>
            <w:pPr>
              <w:pStyle w:val="Normal"/>
              <w:spacing w:before="0" w:after="40"/>
              <w:rPr/>
            </w:pPr>
            <w:r>
              <w:rPr/>
            </w:r>
          </w:p>
          <w:p>
            <w:pPr>
              <w:pStyle w:val="Normal"/>
              <w:spacing w:before="0" w:after="40"/>
              <w:rPr/>
            </w:pPr>
            <w:r>
              <w:rPr/>
            </w:r>
          </w:p>
          <w:p>
            <w:pPr>
              <w:pStyle w:val="Normal"/>
              <w:spacing w:before="0" w:after="40"/>
              <w:rPr/>
            </w:pPr>
            <w:r>
              <w:rPr/>
            </w:r>
          </w:p>
        </w:tc>
        <w:tc>
          <w:tcPr>
            <w:tcW w:w="743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Un groupe de 8 à 10 utilisateurs volontaires issus de la beta (représentatifs des profils clés : parent, diabétique, étudiant), animé par le Marketing. Rencontre trimestrielle en visio pour tester les nouveautés en avant-première et remonter du feedback qualitatif. Livrable : compte-rendu synthétique partagé à l'équipe produit, avec au moins 3 retours actionnables par session </w:t>
            </w:r>
          </w:p>
        </w:tc>
      </w:tr>
      <w:tr>
        <w:trPr/>
        <w:tc>
          <w:tcPr>
            <w:tcW w:w="22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Boucle de retours</w:t>
            </w:r>
          </w:p>
          <w:p>
            <w:pPr>
              <w:pStyle w:val="Normal"/>
              <w:spacing w:before="0" w:after="40"/>
              <w:rPr/>
            </w:pPr>
            <w:r>
              <w:rPr/>
            </w:r>
          </w:p>
          <w:p>
            <w:pPr>
              <w:pStyle w:val="Normal"/>
              <w:spacing w:before="0" w:after="40"/>
              <w:rPr/>
            </w:pPr>
            <w:r>
              <w:rPr/>
            </w:r>
          </w:p>
          <w:p>
            <w:pPr>
              <w:pStyle w:val="Normal"/>
              <w:spacing w:before="0" w:after="40"/>
              <w:rPr/>
            </w:pPr>
            <w:r>
              <w:rPr/>
            </w:r>
          </w:p>
        </w:tc>
        <w:tc>
          <w:tcPr>
            <w:tcW w:w="743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Pilotée par le Support client, alimentée en continu par les signalements in-app (suggestions IA rejetées, erreurs de données, tickets support). Synthèse bimensuelle transmise à l'équipe data/IA et à Marketing. Livrable : tableau de bord partagé listant les irritants récurrents, priorisés par fréquence et par impact utilisateur </w:t>
            </w:r>
          </w:p>
        </w:tc>
      </w:tr>
      <w:tr>
        <w:trPr/>
        <w:tc>
          <w:tcPr>
            <w:tcW w:w="22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Comité d'adoption</w:t>
            </w:r>
          </w:p>
          <w:p>
            <w:pPr>
              <w:pStyle w:val="Normal"/>
              <w:spacing w:before="0" w:after="40"/>
              <w:rPr/>
            </w:pPr>
            <w:r>
              <w:rPr/>
            </w:r>
          </w:p>
          <w:p>
            <w:pPr>
              <w:pStyle w:val="Normal"/>
              <w:spacing w:before="0" w:after="40"/>
              <w:rPr/>
            </w:pPr>
            <w:r>
              <w:rPr/>
            </w:r>
          </w:p>
          <w:p>
            <w:pPr>
              <w:pStyle w:val="Normal"/>
              <w:spacing w:before="0" w:after="40"/>
              <w:rPr/>
            </w:pPr>
            <w:r>
              <w:rPr/>
            </w:r>
          </w:p>
        </w:tc>
        <w:tc>
          <w:tcPr>
            <w:tcW w:w="743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Réunit Direction, Marketing, équipe data/IA et DPO, une fois par mois. Objet : revue des 6 KPI produit, arbitrage sur les alertes déclenchées (cf. tableau seuils/relances) et validation des évolutions prioritaires. Livrable : compte-rendu de décisions avec actions assignées et échéances, archivé pour traçabilité </w:t>
            </w:r>
          </w:p>
        </w:tc>
      </w:tr>
      <w:tr>
        <w:trPr/>
        <w:tc>
          <w:tcPr>
            <w:tcW w:w="2200"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rFonts w:eastAsia="Calibri" w:cs="Calibri"/>
                <w:color w:val="1B2536"/>
                <w:sz w:val="21"/>
                <w:szCs w:val="21"/>
              </w:rPr>
              <w:t>Évolutions du modèle</w:t>
            </w:r>
          </w:p>
          <w:p>
            <w:pPr>
              <w:pStyle w:val="Normal"/>
              <w:spacing w:before="0" w:after="40"/>
              <w:rPr/>
            </w:pPr>
            <w:r>
              <w:rPr/>
            </w:r>
          </w:p>
          <w:p>
            <w:pPr>
              <w:pStyle w:val="Normal"/>
              <w:spacing w:before="0" w:after="40"/>
              <w:rPr/>
            </w:pPr>
            <w:r>
              <w:rPr/>
            </w:r>
          </w:p>
          <w:p>
            <w:pPr>
              <w:pStyle w:val="Normal"/>
              <w:spacing w:before="0" w:after="40"/>
              <w:rPr/>
            </w:pPr>
            <w:r>
              <w:rPr/>
            </w:r>
          </w:p>
        </w:tc>
        <w:tc>
          <w:tcPr>
            <w:tcW w:w="7438" w:type="dxa"/>
            <w:tcBorders>
              <w:top w:val="single" w:sz="4" w:space="0" w:color="D5DFEC"/>
              <w:start w:val="single" w:sz="4" w:space="0" w:color="D5DFEC"/>
              <w:bottom w:val="single" w:sz="4" w:space="0" w:color="D5DFEC"/>
              <w:end w:val="single" w:sz="4" w:space="0" w:color="D5DFEC"/>
            </w:tcBorders>
          </w:tcPr>
          <w:p>
            <w:pPr>
              <w:pStyle w:val="Normal"/>
              <w:spacing w:lineRule="auto" w:line="264" w:before="0" w:after="40"/>
              <w:rPr/>
            </w:pPr>
            <w:r>
              <w:rPr/>
              <w:t xml:space="preserve">Sous la responsabilité de l'équipe data/IA, en lien avec le comité scientifique externe (diététiciens). Revue trimestrielle des critères de scoring des substitutions, à partir des données du taux d'acceptation et des retours du comité scientifique. Livrable : note de version documentant les changements de critères, publiée en interne et résumée publiquement (cohérent avec la charte de transparence déjà évoquée pour les industriels) </w:t>
            </w:r>
          </w:p>
        </w:tc>
      </w:tr>
    </w:tbl>
    <w:p>
      <w:pPr>
        <w:pStyle w:val="Normal"/>
        <w:spacing w:before="0" w:after="60"/>
        <w:rPr/>
      </w:pPr>
      <w:r>
        <w:rPr/>
      </w:r>
    </w:p>
    <w:p>
      <w:pPr>
        <w:pStyle w:val="Normal"/>
        <w:pBdr>
          <w:left w:val="single" w:sz="18" w:space="0" w:color="B45309"/>
        </w:pBdr>
        <w:shd w:val="clear" w:fill="FFF7E6"/>
        <w:spacing w:lineRule="auto" w:line="276" w:before="80" w:after="160"/>
        <w:ind w:start="120"/>
        <w:rPr/>
      </w:pPr>
      <w:r>
        <w:rPr>
          <w:rFonts w:eastAsia="Calibri" w:cs="Calibri"/>
          <w:b/>
          <w:bCs/>
          <w:color w:val="7A4A12"/>
          <w:sz w:val="21"/>
          <w:szCs w:val="21"/>
        </w:rPr>
        <w:t xml:space="preserve">Auto-contrôle avant de committer : </w:t>
      </w:r>
      <w:r>
        <w:rPr>
          <w:rFonts w:eastAsia="Calibri" w:cs="Calibri"/>
          <w:i/>
          <w:iCs/>
          <w:color w:val="7A4A12"/>
          <w:sz w:val="21"/>
          <w:szCs w:val="21"/>
        </w:rPr>
        <w:t>chaque action a un qui / quand / comment on le saura ; aucun KPI individuel ; le taux d'activation n'est pas vendu comme un succès ; au moins une résistance a été traitée comme une information produit.</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swiss"/>
    <w:pitch w:val="variable"/>
  </w:font>
  <w:font w:name="Liberation Sans">
    <w:altName w:val="Arial"/>
    <w:charset w:val="01"/>
    <w:family w:val="swiss"/>
    <w:pitch w:val="variable"/>
  </w:font>
  <w:font w:name="Georgia">
    <w:charset w:val="01"/>
    <w:family w:val="roman"/>
    <w:pitch w:val="variable"/>
  </w:font>
  <w:font w:name="Consolas">
    <w:charset w:val="01"/>
    <w:family w:val="roman"/>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B2536"/>
        <w:sz w:val="21"/>
        <w:szCs w:val="21"/>
        <w:lang w:val="fr-FR" w:eastAsia="zh-CN" w:bidi="hi-IN"/>
      </w:rPr>
    </w:rPrDefault>
    <w:pPrDefault>
      <w:pPr>
        <w:suppressAutoHyphens w:val="true"/>
      </w:pPr>
    </w:pPrDefault>
  </w:docDefaults>
  <w:style w:type="paragraph" w:styleId="Normal">
    <w:name w:val="Normal"/>
    <w:pPr>
      <w:widowControl/>
      <w:bidi w:val="0"/>
      <w:spacing w:lineRule="auto" w:line="276" w:before="0" w:after="120"/>
      <w:jc w:val="start"/>
    </w:pPr>
    <w:rPr>
      <w:rFonts w:ascii="Calibri" w:hAnsi="Calibri" w:eastAsia="Calibri" w:cs="Calibri"/>
      <w:color w:val="1B2536"/>
      <w:kern w:val="0"/>
      <w:sz w:val="21"/>
      <w:szCs w:val="21"/>
      <w:lang w:val="fr-FR" w:eastAsia="zh-CN" w:bidi="hi-IN"/>
    </w:rPr>
  </w:style>
  <w:style w:type="paragraph" w:styleId="Heading1">
    <w:name w:val="heading 1"/>
    <w:basedOn w:val="Titre"/>
    <w:qFormat/>
    <w:pPr>
      <w:pBdr>
        <w:bottom w:val="single" w:sz="12" w:space="0" w:color="0B4F9C"/>
      </w:pBdr>
      <w:spacing w:before="300" w:after="130"/>
    </w:pPr>
    <w:rPr>
      <w:rFonts w:ascii="Georgia" w:hAnsi="Georgia" w:eastAsia="Georgia" w:cs="Georgia"/>
      <w:b/>
      <w:bCs/>
      <w:color w:val="0B4F9C"/>
      <w:sz w:val="27"/>
      <w:szCs w:val="27"/>
    </w:rPr>
  </w:style>
  <w:style w:type="paragraph" w:styleId="Heading2">
    <w:name w:val="heading 2"/>
    <w:basedOn w:val="Titre"/>
    <w:qFormat/>
    <w:pPr>
      <w:spacing w:before="220" w:after="100"/>
    </w:pPr>
    <w:rPr>
      <w:rFonts w:ascii="Georgia" w:hAnsi="Georgia" w:eastAsia="Georgia" w:cs="Georgia"/>
      <w:b/>
      <w:bCs/>
      <w:color w:val="1B2536"/>
      <w:sz w:val="24"/>
      <w:szCs w:val="24"/>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resdenotedefin">
    <w:name w:val="Caractères de note de fin"/>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character" w:styleId="Strong">
    <w:name w:val="Strong"/>
    <w:rPr>
      <w:b/>
      <w:bCs/>
    </w:rPr>
  </w:style>
  <w:style w:type="paragraph" w:styleId="Titre">
    <w:name w:val="Titre"/>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Title">
    <w:name w:val="Title"/>
    <w:basedOn w:val="Titre"/>
    <w:qFormat/>
    <w:pPr/>
    <w:rPr>
      <w:sz w:val="56"/>
      <w:szCs w:val="56"/>
    </w:rPr>
  </w:style>
  <w:style w:type="paragraph" w:styleId="StrongEmphasis">
    <w:name w:val="Strong Emphasis"/>
    <w:qFormat/>
    <w:pPr>
      <w:widowControl/>
      <w:bidi w:val="0"/>
      <w:spacing w:lineRule="auto" w:line="276" w:before="0" w:after="120"/>
      <w:jc w:val="start"/>
    </w:pPr>
    <w:rPr>
      <w:rFonts w:ascii="Calibri" w:hAnsi="Calibri" w:eastAsia="Calibri" w:cs="Calibri"/>
      <w:b/>
      <w:bCs/>
      <w:color w:val="1B2536"/>
      <w:kern w:val="0"/>
      <w:sz w:val="21"/>
      <w:szCs w:val="21"/>
      <w:lang w:val="fr-FR" w:eastAsia="zh-CN" w:bidi="hi-IN"/>
    </w:rPr>
  </w:style>
  <w:style w:type="paragraph" w:styleId="ListParagraph">
    <w:name w:val="List Paragraph"/>
    <w:qFormat/>
    <w:pPr>
      <w:widowControl/>
      <w:bidi w:val="0"/>
      <w:spacing w:lineRule="auto" w:line="276" w:before="0" w:after="120"/>
      <w:jc w:val="start"/>
    </w:pPr>
    <w:rPr>
      <w:rFonts w:ascii="Calibri" w:hAnsi="Calibri" w:eastAsia="Calibri" w:cs="Calibri"/>
      <w:color w:val="1B2536"/>
      <w:kern w:val="0"/>
      <w:sz w:val="21"/>
      <w:szCs w:val="21"/>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56C5799A17054BA5089B3AB6B640E1" ma:contentTypeVersion="9" ma:contentTypeDescription="Crée un document." ma:contentTypeScope="" ma:versionID="356df703d850b0f5e8f964ad80997570">
  <xsd:schema xmlns:xsd="http://www.w3.org/2001/XMLSchema" xmlns:xs="http://www.w3.org/2001/XMLSchema" xmlns:p="http://schemas.microsoft.com/office/2006/metadata/properties" xmlns:ns2="0c63db7e-493f-457f-92be-0a9a1bee0029" xmlns:ns3="6042ea7b-8a86-4655-a30f-0af343b3652b" targetNamespace="http://schemas.microsoft.com/office/2006/metadata/properties" ma:root="true" ma:fieldsID="7ff9e70b39911079e4519d622f6eb558" ns2:_="" ns3:_="">
    <xsd:import namespace="0c63db7e-493f-457f-92be-0a9a1bee0029"/>
    <xsd:import namespace="6042ea7b-8a86-4655-a30f-0af343b365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63db7e-493f-457f-92be-0a9a1bee00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d4b6e4fd-4af2-4f07-b7d1-18266e58562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42ea7b-8a86-4655-a30f-0af343b365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51c3be-5b0d-4c1a-8c3b-6518e02f5c7d}" ma:internalName="TaxCatchAll" ma:showField="CatchAllData" ma:web="6042ea7b-8a86-4655-a30f-0af343b365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c63db7e-493f-457f-92be-0a9a1bee0029">
      <Terms xmlns="http://schemas.microsoft.com/office/infopath/2007/PartnerControls"/>
    </lcf76f155ced4ddcb4097134ff3c332f>
    <TaxCatchAll xmlns="6042ea7b-8a86-4655-a30f-0af343b3652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A98E9A-54C2-4E87-8E94-297055359781}"/>
</file>

<file path=customXml/itemProps2.xml><?xml version="1.0" encoding="utf-8"?>
<ds:datastoreItem xmlns:ds="http://schemas.openxmlformats.org/officeDocument/2006/customXml" ds:itemID="{76B74C75-03D8-41D9-9C3C-0EF826E682B7}"/>
</file>

<file path=customXml/itemProps3.xml><?xml version="1.0" encoding="utf-8"?>
<ds:datastoreItem xmlns:ds="http://schemas.openxmlformats.org/officeDocument/2006/customXml" ds:itemID="{167A458F-09F7-4F49-8C32-3DCEBE56D79E}"/>
</file>

<file path=docProps/app.xml><?xml version="1.0" encoding="utf-8"?>
<Properties xmlns="http://schemas.openxmlformats.org/officeDocument/2006/extended-properties" xmlns:vt="http://schemas.openxmlformats.org/officeDocument/2006/docPropsVTypes">
  <Template/>
  <TotalTime>14</TotalTime>
  <Application>LibreOffice/26.8.0.3$Windows_X86_64 LibreOffice_project/bce0998afefdbc355585ca324285661a2170ba77</Application>
  <AppVersion>15.0000</AppVersion>
  <Pages>6</Pages>
  <Words>1749</Words>
  <Characters>9916</Characters>
  <CharactersWithSpaces>11549</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2026-09-15T06:47:26Z</dcterms:created>
  <dc:creator>Un-named</dc:creator>
  <dc:description/>
  <dc:language>fr-FR</dc:language>
  <cp:lastModifiedBy/>
  <dcterms:modified xsi:type="dcterms:W3CDTF">2026-09-15T11:40:57Z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0x0101006156C5799A17054BA5089B3AB6B640E1</vt:lpwstr>
  </property>
</Properties>
</file>