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生成日期：2026-09-20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r>
        <w:fldChar w:fldCharType="begin"/>
        <w:instrText xml:space="preserve">TOC \o "1-2" \h \z \u</w:instrText>
        <w:fldChar w:fldCharType="separate"/>
        <w:t>右键更新域以生成目录</w:t>
        <w:fldChar w:fldCharType="end"/>
      </w:r>
    </w:p>
    <w:p>
      <w:r>
        <w:br w:type="page"/>
      </w:r>
    </w:p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 + 季节匹配因子 + 趋势因子三层加权体系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分为五个参数分组，从上到下依次为：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季节匹配因子：强季节 λ、弱季节 λ_weak、窗口范围 N、适用品类（默认折叠）</w:t>
      </w:r>
    </w:p>
    <w:p>
      <w:pPr>
        <w:pStyle w:val="ListBullet"/>
      </w:pPr>
      <w:r>
        <w:t>④ 趋势因子 α：趋势因子 α、单仓调整上限、归一化方式（默认折叠）</w:t>
      </w:r>
    </w:p>
    <w:p>
      <w:pPr>
        <w:pStyle w:val="ListBullet"/>
      </w:pPr>
      <w:r>
        <w:t>⑤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开始计算：蓝色边框容器内含季节适用品类多选、减仓优化开关、计算按钮</w:t>
      </w:r>
    </w:p>
    <w:p>
      <w:pPr>
        <w:pStyle w:val="ListBullet"/>
      </w:pPr>
      <w:r>
        <w:t>3. 计算结果：自动体检、KPI卡片（四仓平均占比）、SKU级表格（分页Tab）、聚合层级占比</w:t>
      </w:r>
    </w:p>
    <w:p>
      <w:pPr>
        <w:pStyle w:val="ListBullet"/>
      </w:pPr>
      <w:r>
        <w:t>4. 占比微调：滑块调整四仓占比，自动补足到 100%，生成落货量</w:t>
      </w:r>
    </w:p>
    <w:p>
      <w:pPr>
        <w:pStyle w:val="ListBullet"/>
      </w:pPr>
      <w:r>
        <w:t>5. 可视化：饼图、可搜索堆叠图</w:t>
      </w:r>
    </w:p>
    <w:p>
      <w:pPr>
        <w:pStyle w:val="ListBullet"/>
      </w:pPr>
      <w:r>
        <w:t>6. 导出结果：Excel（含聚合）、CSV（SKU级）、CSV（一级分类）</w:t>
      </w:r>
    </w:p>
    <w:p>
      <w:pPr>
        <w:pStyle w:val="ListBullet"/>
      </w:pPr>
      <w:r>
        <w:t>右上角：下载说明按钮（Markdown 版本）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弱季节品类的非同月数据按此衰减。1个月前85%，6个月前38%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强季节品类的非同月数据权重为 0（不参与计算）</w:t>
      </w:r>
    </w:p>
    <w:p>
      <w:pPr>
        <w:pStyle w:val="Heading2"/>
      </w:pPr>
      <w:r>
        <w:t>3.3 季节匹配因子</w:t>
      </w:r>
    </w:p>
    <w:p>
      <w:r>
        <w:t>对同月/同季数据的权重进行额外放大。作用于加权层，与趋势因子作用层不同，互不冲突。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强季节增强倍数 λ</w:t>
            </w:r>
          </w:p>
        </w:tc>
        <w:tc>
          <w:tcPr>
            <w:tcW w:type="dxa" w:w="1134"/>
          </w:tcPr>
          <w:p>
            <w:r>
              <w:t>3.0</w:t>
            </w:r>
          </w:p>
        </w:tc>
        <w:tc>
          <w:tcPr>
            <w:tcW w:type="dxa" w:w="5669"/>
          </w:tcPr>
          <w:p>
            <w:r>
              <w:t>强季节品类（庭院等）同季数据权重放大倍数</w:t>
            </w:r>
          </w:p>
        </w:tc>
      </w:tr>
      <w:tr>
        <w:tc>
          <w:tcPr>
            <w:tcW w:type="dxa" w:w="2835"/>
          </w:tcPr>
          <w:p>
            <w:r>
              <w:t>弱季节增强倍数 λ_weak</w:t>
            </w:r>
          </w:p>
        </w:tc>
        <w:tc>
          <w:tcPr>
            <w:tcW w:type="dxa" w:w="1134"/>
          </w:tcPr>
          <w:p>
            <w:r>
              <w:t>1.5</w:t>
            </w:r>
          </w:p>
        </w:tc>
        <w:tc>
          <w:tcPr>
            <w:tcW w:type="dxa" w:w="5669"/>
          </w:tcPr>
          <w:p>
            <w:r>
              <w:t>弱季节品类同月数据权重放大倍数。1.0=不放大</w:t>
            </w:r>
          </w:p>
        </w:tc>
      </w:tr>
      <w:tr>
        <w:tc>
          <w:tcPr>
            <w:tcW w:type="dxa" w:w="2835"/>
          </w:tcPr>
          <w:p>
            <w:r>
              <w:t>季节窗口范围 N</w:t>
            </w:r>
          </w:p>
        </w:tc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5669"/>
          </w:tcPr>
          <w:p>
            <w:r>
              <w:t>窗口 = 目标月前 N 个月（环形距离）。N=1：发1月货→命中12月</w:t>
            </w:r>
          </w:p>
        </w:tc>
      </w:tr>
    </w:tbl>
    <w:p/>
    <w:p>
      <w:r>
        <w:t>适用品类：从上传数据中动态识别，默认勾选「庭院、草坪与花园」和「庭院」，可手动增删。</w:t>
      </w:r>
    </w:p>
    <w:p>
      <w:pPr>
        <w:pStyle w:val="Heading2"/>
      </w:pPr>
      <w:r>
        <w:t>3.4 趋势因子 α</w:t>
      </w:r>
    </w:p>
    <w:p>
      <w:r>
        <w:t>比较「去年同期」与「前年同期」的分仓占比差，把趋势方向叠加到最终占比上。使用原始单量占比计算（不受衰减权重和季节因子干扰）。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归一化方式</w:t>
            </w:r>
          </w:p>
        </w:tc>
        <w:tc>
          <w:tcPr>
            <w:tcW w:type="dxa" w:w="1134"/>
          </w:tcPr>
          <w:p>
            <w:r>
              <w:t>归一化</w:t>
            </w:r>
          </w:p>
        </w:tc>
        <w:tc>
          <w:tcPr>
            <w:tcW w:type="dxa" w:w="5669"/>
          </w:tcPr>
          <w:p>
            <w:r>
              <w:t>调整后四仓占比缩放到合计 100%</w:t>
            </w:r>
          </w:p>
        </w:tc>
      </w:tr>
    </w:tbl>
    <w:p/>
    <w:p>
      <w:pPr>
        <w:pStyle w:val="Heading2"/>
      </w:pPr>
      <w:r>
        <w:t>3.5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0.9</w:t>
            </w:r>
          </w:p>
        </w:tc>
        <w:tc>
          <w:tcPr>
            <w:tcW w:type="dxa" w:w="5669"/>
          </w:tcPr>
          <w:p>
            <w:r>
              <w:t>自身数据的最高权重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984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1701"/>
          </w:tcPr>
          <w:p>
            <w:r>
              <w:rPr>
                <w:b/>
              </w:rPr>
              <w:t>SPU</w:t>
            </w:r>
          </w:p>
        </w:tc>
        <w:tc>
          <w:tcPr>
            <w:tcW w:type="dxa" w:w="850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850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567"/>
          </w:tcPr>
          <w:p>
            <w:r>
              <w:rPr>
                <w:b/>
              </w:rPr>
              <w:t>年</w:t>
            </w:r>
          </w:p>
        </w:tc>
        <w:tc>
          <w:tcPr>
            <w:tcW w:type="dxa" w:w="567"/>
          </w:tcPr>
          <w:p>
            <w:r>
              <w:rPr>
                <w:b/>
              </w:rPr>
              <w:t>月</w:t>
            </w:r>
          </w:p>
        </w:tc>
        <w:tc>
          <w:tcPr>
            <w:tcW w:type="dxa" w:w="56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56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850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850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1984"/>
          </w:tcPr>
          <w:p>
            <w:r>
              <w:t>NBGF050BROOS-V4</w:t>
            </w:r>
          </w:p>
        </w:tc>
        <w:tc>
          <w:tcPr>
            <w:tcW w:type="dxa" w:w="1701"/>
          </w:tcPr>
          <w:p>
            <w:r>
              <w:t>NBGF050BROOS</w:t>
            </w:r>
          </w:p>
        </w:tc>
        <w:tc>
          <w:tcPr>
            <w:tcW w:type="dxa" w:w="850"/>
          </w:tcPr>
          <w:p>
            <w:r>
              <w:t>室内</w:t>
            </w:r>
          </w:p>
        </w:tc>
        <w:tc>
          <w:tcPr>
            <w:tcW w:type="dxa" w:w="850"/>
          </w:tcPr>
          <w:p>
            <w:r>
              <w:t>庭院</w:t>
            </w:r>
          </w:p>
        </w:tc>
        <w:tc>
          <w:tcPr>
            <w:tcW w:type="dxa" w:w="567"/>
          </w:tcPr>
          <w:p>
            <w:r>
              <w:t>2026</w:t>
            </w:r>
          </w:p>
        </w:tc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850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季节适用品类：多选框，默认勾选庭院类品类</w:t>
      </w:r>
    </w:p>
    <w:p>
      <w:pPr>
        <w:pStyle w:val="ListBullet"/>
      </w:pPr>
      <w:r>
        <w:t>减仓优化：勾选开关，启用后月均&lt;3单且占比&lt;5%的仓位自动减仓</w:t>
      </w:r>
    </w:p>
    <w:p>
      <w:pPr>
        <w:pStyle w:val="ListBullet"/>
      </w:pPr>
      <w:r>
        <w:t>点击「开始计算」按钮，系统分7步逐步显示计算进度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自动体检：四仓占比合计=100%、季节因子命中行数、趋势因子生效数</w:t>
      </w:r>
    </w:p>
    <w:p>
      <w:pPr>
        <w:pStyle w:val="ListBullet"/>
      </w:pPr>
      <w:r>
        <w:t>KPI卡片：美西、美东、美南GA、美南TX 四仓平均占比</w:t>
      </w:r>
    </w:p>
    <w:p>
      <w:pPr>
        <w:pStyle w:val="ListBullet"/>
      </w:pPr>
      <w:r>
        <w:t>SKU级表格：5个分页Tab（调整后/最终/自身/基准/趋势差），每个Tab只显示4仓+基础列</w:t>
      </w:r>
    </w:p>
    <w:p>
      <w:pPr>
        <w:pStyle w:val="ListBullet"/>
      </w:pPr>
      <w:r>
        <w:t>聚合层级：一级分类、室内外、SPU、全公司四个 Tab，展示各层级的分仓占比</w:t>
      </w:r>
    </w:p>
    <w:p>
      <w:pPr>
        <w:pStyle w:val="Heading2"/>
      </w:pPr>
      <w:r>
        <w:t>4.4 占比微调</w:t>
      </w:r>
    </w:p>
    <w:p>
      <w:r>
        <w:t>对某个 SKU 的分仓占比有业务判断时，可在此直接修改。</w:t>
      </w:r>
    </w:p>
    <w:p>
      <w:pPr>
        <w:pStyle w:val="ListBullet"/>
      </w:pPr>
      <w:r>
        <w:t>选择要微调的 SKU，拖动四个滑块调整占比</w:t>
      </w:r>
    </w:p>
    <w:p>
      <w:pPr>
        <w:pStyle w:val="ListBullet"/>
      </w:pPr>
      <w:r>
        <w:t>实时显示四仓合计是否=100%</w:t>
      </w:r>
    </w:p>
    <w:p>
      <w:pPr>
        <w:pStyle w:val="ListBullet"/>
      </w:pPr>
      <w:r>
        <w:t>点击「按改动自动补足到 100%」，以改动最大的仓为准，其余三仓按原比例自动补足</w:t>
      </w:r>
    </w:p>
    <w:p>
      <w:pPr>
        <w:pStyle w:val="ListBullet"/>
      </w:pPr>
      <w:r>
        <w:t>输入发运批量，按修正后的占比生成落货量（最大余额法保证整数精确）</w:t>
      </w:r>
    </w:p>
    <w:p>
      <w:pPr>
        <w:pStyle w:val="ListBullet"/>
      </w:pPr>
      <w:r>
        <w:t>可下载该 SKU 的调整结果 CSV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名搜索，可调整每页显示数量（10-100），合计恒为 100%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计算链路共7步，点击「开始计算」后逐步显示进度：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强季节品类只看目标期同月数据，用 λ_same（0.95）跨年衰减。弱季节品类放开全部月份，同月用 λ_same，非同月用 λ（0.85）。</w:t>
      </w:r>
    </w:p>
    <w:p>
      <w:pPr>
        <w:pStyle w:val="Heading2"/>
      </w:pPr>
      <w:r>
        <w:t>步骤3：季节匹配因子</w:t>
      </w:r>
    </w:p>
    <w:p>
      <w:r>
        <w:t>强季节品类 + 季节窗口内 → 权重 × λ（3.0）。弱季节品类 + 同月 → 权重 × λ_weak（1.5）。其他 × 1.0。</w:t>
      </w:r>
    </w:p>
    <w:p>
      <w:pPr>
        <w:pStyle w:val="Heading2"/>
      </w:pPr>
      <w:r>
        <w:t>步骤4：自身占比</w:t>
      </w:r>
    </w:p>
    <w:p>
      <w:r>
        <w:t>加权后的各仓出单量 ÷ 加权合计，逐仓计算。</w:t>
      </w:r>
    </w:p>
    <w:p>
      <w:pPr>
        <w:pStyle w:val="Heading2"/>
      </w:pPr>
      <w:r>
        <w:t>步骤5：基准占比</w:t>
      </w:r>
    </w:p>
    <w:p>
      <w:r>
        <w:t>层级回退 + 贝叶斯收缩：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268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623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2268"/>
          </w:tcPr>
          <w:p>
            <w:r>
              <w:t>SPU（预存）</w:t>
            </w:r>
          </w:p>
        </w:tc>
        <w:tc>
          <w:tcPr>
            <w:tcW w:type="dxa" w:w="6236"/>
          </w:tcPr>
          <w:p>
            <w:r>
              <w:t>sheet4中预存的SPU基准，有观测数时使用</w:t>
            </w:r>
          </w:p>
        </w:tc>
      </w:tr>
      <w:tr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2268"/>
          </w:tcPr>
          <w:p>
            <w:r>
              <w:t>SPU（动态）</w:t>
            </w:r>
          </w:p>
        </w:tc>
        <w:tc>
          <w:tcPr>
            <w:tcW w:type="dxa" w:w="6236"/>
          </w:tcPr>
          <w:p>
            <w:r>
              <w:t>贝叶斯收缩，父层=所属一级分类</w:t>
            </w:r>
          </w:p>
        </w:tc>
      </w:tr>
      <w:tr>
        <w:tc>
          <w:tcPr>
            <w:tcW w:type="dxa" w:w="1134"/>
          </w:tcPr>
          <w:p>
            <w:r>
              <w:t>3</w:t>
            </w:r>
          </w:p>
        </w:tc>
        <w:tc>
          <w:tcPr>
            <w:tcW w:type="dxa" w:w="2268"/>
          </w:tcPr>
          <w:p>
            <w:r>
              <w:t>一级分类（预存）</w:t>
            </w:r>
          </w:p>
        </w:tc>
        <w:tc>
          <w:tcPr>
            <w:tcW w:type="dxa" w:w="6236"/>
          </w:tcPr>
          <w:p>
            <w:r>
              <w:t>预存的一级分类基准</w:t>
            </w:r>
          </w:p>
        </w:tc>
      </w:tr>
      <w:tr>
        <w:tc>
          <w:tcPr>
            <w:tcW w:type="dxa" w:w="1134"/>
          </w:tcPr>
          <w:p>
            <w:r>
              <w:t>4</w:t>
            </w:r>
          </w:p>
        </w:tc>
        <w:tc>
          <w:tcPr>
            <w:tcW w:type="dxa" w:w="2268"/>
          </w:tcPr>
          <w:p>
            <w:r>
              <w:t>一级分类（动态）</w:t>
            </w:r>
          </w:p>
        </w:tc>
        <w:tc>
          <w:tcPr>
            <w:tcW w:type="dxa" w:w="6236"/>
          </w:tcPr>
          <w:p>
            <w:r>
              <w:t>贝叶斯收缩，父层=全公司</w:t>
            </w:r>
          </w:p>
        </w:tc>
      </w:tr>
      <w:tr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室内外（预存）</w:t>
            </w:r>
          </w:p>
        </w:tc>
        <w:tc>
          <w:tcPr>
            <w:tcW w:type="dxa" w:w="6236"/>
          </w:tcPr>
          <w:p>
            <w:r>
              <w:t>预存的室内外基准</w:t>
            </w:r>
          </w:p>
        </w:tc>
      </w:tr>
      <w:tr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2268"/>
          </w:tcPr>
          <w:p>
            <w:r>
              <w:t>室内外（动态）</w:t>
            </w:r>
          </w:p>
        </w:tc>
        <w:tc>
          <w:tcPr>
            <w:tcW w:type="dxa" w:w="6236"/>
          </w:tcPr>
          <w:p>
            <w:r>
              <w:t>贝叶斯收缩，父层=全公司</w:t>
            </w:r>
          </w:p>
        </w:tc>
      </w:tr>
      <w:tr>
        <w:tc>
          <w:tcPr>
            <w:tcW w:type="dxa" w:w="1134"/>
          </w:tcPr>
          <w:p>
            <w:r>
              <w:t>7</w:t>
            </w:r>
          </w:p>
        </w:tc>
        <w:tc>
          <w:tcPr>
            <w:tcW w:type="dxa" w:w="2268"/>
          </w:tcPr>
          <w:p>
            <w:r>
              <w:t>全公司</w:t>
            </w:r>
          </w:p>
        </w:tc>
        <w:tc>
          <w:tcPr>
            <w:tcW w:type="dxa" w:w="6236"/>
          </w:tcPr>
          <w:p>
            <w:r>
              <w:t>整体占比兖底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步骤6：最终占比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目标期单量&lt;10）自身权重=0，完全使用基准。</w:t>
      </w:r>
    </w:p>
    <w:p>
      <w:r>
        <w:t>趋势调整用原始单量占比（不受衰减和季节因子干扰），比较去年同期 vs 前年同期的占比差。</w:t>
      </w:r>
    </w:p>
    <w:p>
      <w:pPr>
        <w:pStyle w:val="Heading2"/>
      </w:pPr>
      <w:r>
        <w:t>步骤7：落货量</w:t>
      </w:r>
    </w:p>
    <w:p>
      <w:r>
        <w:t>占比 × 批量，最大余额法保证整数合计精确等于批量。</w:t>
      </w:r>
    </w:p>
    <w:p>
      <w:pPr>
        <w:pStyle w:val="Heading2"/>
      </w:pPr>
      <w:r>
        <w:t>减仓优化（可选）</w:t>
      </w:r>
    </w:p>
    <w:p>
      <w:r>
        <w:t>启用后，对运算SKU × 仓点判断：月均&lt;3单且占比&lt;5%的仓位被减仓，占比等比分配到其他仓，归一化到100%。仅影响SKU层，上层聚合使用减仓前原始数据。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 5月，趋势因子参考哪些时间？</w:t>
      </w:r>
    </w:p>
    <w:p>
      <w:r>
        <w:t>A：趋势因子比较去年同期（2026年5月）与前年同期（2025年5月）的原始单量占比差。多月目标期（如4-6月）则参考4-6月。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A：强季节品类 = 侧边栏「季节适用品类」多选框中勾选的品类（默认庭院类）。不在列表中的品类自动归为弱季节。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A：λ_same（0.95）用于同月数据跨年衰减，去年同月保留95%，前年同月保留90%。λ（0.85）用于弱季节品类的非同月数据衰减，1个月前85%，6个月前38%。同月数据参考价值更高，所以衰减更慢。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A：历史出单月数 ≤ 2 或 目标期总单量 &lt; 10，满足任一即视为新品。新品自身权重=0，完全使用基准占比（从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A：不影响。减仓仅修改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A：是的。引擎计算后自动归一化，趋势调整后再次归一化，微调时自动补足，自检验证偏差 &lt; 1e-9。</w:t>
      </w:r>
    </w:p>
    <w:p>
      <w:pPr>
        <w:pStyle w:val="Heading2"/>
      </w:pPr>
      <w:r>
        <w:t>Q7：趋势因子和季节因子会冲突吗？</w:t>
      </w:r>
    </w:p>
    <w:p>
      <w:r>
        <w:t>A：不会。季节因子作用于加权层（步骤3），趋势因子作用于最终占比层（步骤6），两者作用层不同。趋势因子用原始数据计算，不受衰减和季节因子干扰。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AAAAA"/>
        <w:sz w:val="16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