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CB0"/>
          <w:sz w:val="52"/>
        </w:rPr>
        <w:t>分仓占比计算引擎</w:t>
      </w:r>
    </w:p>
    <w:p>
      <w:pPr>
        <w:jc w:val="center"/>
      </w:pPr>
      <w:r>
        <w:rPr>
          <w:color w:val="555555"/>
          <w:sz w:val="32"/>
        </w:rPr>
        <w:t>使用说明</w:t>
      </w:r>
    </w:p>
    <w:p/>
    <w:p>
      <w:pPr>
        <w:jc w:val="center"/>
      </w:pPr>
      <w:r>
        <w:rPr>
          <w:color w:val="888888"/>
          <w:sz w:val="22"/>
        </w:rPr>
        <w:t>上传历史出单数据 → 调节参数 → 计算各仓库发货占比 → 导出结果</w:t>
      </w:r>
    </w:p>
    <w:p>
      <w:pPr>
        <w:jc w:val="center"/>
      </w:pPr>
      <w:r>
        <w:rPr>
          <w:color w:val="888888"/>
          <w:sz w:val="22"/>
        </w:rPr>
        <w:t>四仓占比合计恒为 100%  |  最大余额法保证落货量整数精确  |  自动体检防静默失效</w:t>
      </w:r>
    </w:p>
    <w:p/>
    <w:p>
      <w:pPr>
        <w:jc w:val="right"/>
      </w:pPr>
      <w:r>
        <w:rPr>
          <w:color w:val="999999"/>
          <w:sz w:val="18"/>
        </w:rPr>
        <w:t>生成日期：2026-10-20  |  随代码同步更新</w:t>
      </w:r>
    </w:p>
    <w:p>
      <w:r>
        <w:br w:type="page"/>
      </w:r>
    </w:p>
    <w:p>
      <w:pPr>
        <w:jc w:val="center"/>
      </w:pPr>
      <w:r>
        <w:rPr>
          <w:b/>
          <w:color w:val="1A5CB0"/>
          <w:sz w:val="32"/>
        </w:rPr>
        <w:t>目录</w:t>
      </w:r>
    </w:p>
    <w:p>
      <w:pPr>
        <w:ind w:left="0"/>
      </w:pPr>
      <w:r>
        <w:rPr>
          <w:b/>
          <w:sz w:val="22"/>
        </w:rPr>
        <w:t>1. 系统概述</w:t>
      </w:r>
    </w:p>
    <w:p>
      <w:pPr>
        <w:ind w:left="567"/>
      </w:pPr>
      <w:r>
        <w:rPr>
          <w:color w:val="555555"/>
          <w:sz w:val="20"/>
        </w:rPr>
        <w:t>1.1 为什么需要这个工具</w:t>
      </w:r>
    </w:p>
    <w:p>
      <w:pPr>
        <w:ind w:left="567"/>
      </w:pPr>
      <w:r>
        <w:rPr>
          <w:color w:val="555555"/>
          <w:sz w:val="20"/>
        </w:rPr>
        <w:t>1.2 本工具如何解决这些问题</w:t>
      </w:r>
    </w:p>
    <w:p>
      <w:pPr>
        <w:ind w:left="567"/>
      </w:pPr>
      <w:r>
        <w:rPr>
          <w:color w:val="555555"/>
          <w:sz w:val="20"/>
        </w:rPr>
        <w:t>1.3 核心能力</w:t>
      </w:r>
    </w:p>
    <w:p>
      <w:pPr>
        <w:ind w:left="0"/>
      </w:pPr>
      <w:r>
        <w:rPr>
          <w:b/>
          <w:sz w:val="22"/>
        </w:rPr>
        <w:t>2. 页面结构总览</w:t>
      </w:r>
    </w:p>
    <w:p>
      <w:pPr>
        <w:ind w:left="567"/>
      </w:pPr>
      <w:r>
        <w:rPr>
          <w:color w:val="555555"/>
          <w:sz w:val="20"/>
        </w:rPr>
        <w:t>侧边栏 — 参数面板</w:t>
      </w:r>
    </w:p>
    <w:p>
      <w:pPr>
        <w:ind w:left="567"/>
      </w:pPr>
      <w:r>
        <w:rPr>
          <w:color w:val="555555"/>
          <w:sz w:val="20"/>
        </w:rPr>
        <w:t>主区域 — 操作区</w:t>
      </w:r>
    </w:p>
    <w:p>
      <w:pPr>
        <w:ind w:left="0"/>
      </w:pPr>
      <w:r>
        <w:rPr>
          <w:b/>
          <w:sz w:val="22"/>
        </w:rPr>
        <w:t>3. 侧边栏参数说明</w:t>
      </w:r>
    </w:p>
    <w:p>
      <w:pPr>
        <w:ind w:left="567"/>
      </w:pPr>
      <w:r>
        <w:rPr>
          <w:color w:val="555555"/>
          <w:sz w:val="20"/>
        </w:rPr>
        <w:t>3.1 目标发货月份</w:t>
      </w:r>
    </w:p>
    <w:p>
      <w:pPr>
        <w:ind w:left="567"/>
      </w:pPr>
      <w:r>
        <w:rPr>
          <w:color w:val="555555"/>
          <w:sz w:val="20"/>
        </w:rPr>
        <w:t>3.2 时间衰减加权</w:t>
      </w:r>
    </w:p>
    <w:p>
      <w:pPr>
        <w:ind w:left="567"/>
      </w:pPr>
      <w:r>
        <w:rPr>
          <w:color w:val="555555"/>
          <w:sz w:val="20"/>
        </w:rPr>
        <w:t>3.3 趋势因子 α</w:t>
      </w:r>
    </w:p>
    <w:p>
      <w:pPr>
        <w:ind w:left="567"/>
      </w:pPr>
      <w:r>
        <w:rPr>
          <w:color w:val="555555"/>
          <w:sz w:val="20"/>
        </w:rPr>
        <w:t>3.4 新品与基准</w:t>
      </w:r>
    </w:p>
    <w:p>
      <w:pPr>
        <w:ind w:left="0"/>
      </w:pPr>
      <w:r>
        <w:rPr>
          <w:b/>
          <w:sz w:val="22"/>
        </w:rPr>
        <w:t>4. 主区域操作指南</w:t>
      </w:r>
    </w:p>
    <w:p>
      <w:pPr>
        <w:ind w:left="567"/>
      </w:pPr>
      <w:r>
        <w:rPr>
          <w:color w:val="555555"/>
          <w:sz w:val="20"/>
        </w:rPr>
        <w:t>4.1 上传数据</w:t>
      </w:r>
    </w:p>
    <w:p>
      <w:pPr>
        <w:ind w:left="567"/>
      </w:pPr>
      <w:r>
        <w:rPr>
          <w:color w:val="555555"/>
          <w:sz w:val="20"/>
        </w:rPr>
        <w:t>4.2 开始计算</w:t>
      </w:r>
    </w:p>
    <w:p>
      <w:pPr>
        <w:ind w:left="567"/>
      </w:pPr>
      <w:r>
        <w:rPr>
          <w:color w:val="555555"/>
          <w:sz w:val="20"/>
        </w:rPr>
        <w:t>4.3 计算结果</w:t>
      </w:r>
    </w:p>
    <w:p>
      <w:pPr>
        <w:ind w:left="567"/>
      </w:pPr>
      <w:r>
        <w:rPr>
          <w:color w:val="555555"/>
          <w:sz w:val="20"/>
        </w:rPr>
        <w:t>4.4 占比微调</w:t>
      </w:r>
    </w:p>
    <w:p>
      <w:pPr>
        <w:ind w:left="567"/>
      </w:pPr>
      <w:r>
        <w:rPr>
          <w:color w:val="555555"/>
          <w:sz w:val="20"/>
        </w:rPr>
        <w:t>4.5 可视化</w:t>
      </w:r>
    </w:p>
    <w:p>
      <w:pPr>
        <w:ind w:left="567"/>
      </w:pPr>
      <w:r>
        <w:rPr>
          <w:color w:val="555555"/>
          <w:sz w:val="20"/>
        </w:rPr>
        <w:t>4.6 导出结果</w:t>
      </w:r>
    </w:p>
    <w:p>
      <w:pPr>
        <w:ind w:left="0"/>
      </w:pPr>
      <w:r>
        <w:rPr>
          <w:b/>
          <w:sz w:val="22"/>
        </w:rPr>
        <w:t>5. 计算逻辑说明</w:t>
      </w:r>
    </w:p>
    <w:p>
      <w:pPr>
        <w:ind w:left="567"/>
      </w:pPr>
      <w:r>
        <w:rPr>
          <w:color w:val="555555"/>
          <w:sz w:val="20"/>
        </w:rPr>
        <w:t>步骤1：运算SKU映射</w:t>
      </w:r>
    </w:p>
    <w:p>
      <w:pPr>
        <w:ind w:left="567"/>
      </w:pPr>
      <w:r>
        <w:rPr>
          <w:color w:val="555555"/>
          <w:sz w:val="20"/>
        </w:rPr>
        <w:t>步骤2：时间衰减加权</w:t>
      </w:r>
    </w:p>
    <w:p>
      <w:pPr>
        <w:ind w:left="567"/>
      </w:pPr>
      <w:r>
        <w:rPr>
          <w:color w:val="555555"/>
          <w:sz w:val="20"/>
        </w:rPr>
        <w:t>步骤3：自身占比（含分仓偏移分层检测）</w:t>
      </w:r>
    </w:p>
    <w:p>
      <w:pPr>
        <w:ind w:left="567"/>
      </w:pPr>
      <w:r>
        <w:rPr>
          <w:color w:val="555555"/>
          <w:sz w:val="20"/>
        </w:rPr>
        <w:t>步骤4：基准占比</w:t>
      </w:r>
    </w:p>
    <w:p>
      <w:pPr>
        <w:ind w:left="567"/>
      </w:pPr>
      <w:r>
        <w:rPr>
          <w:color w:val="555555"/>
          <w:sz w:val="20"/>
        </w:rPr>
        <w:t>步骤5：最终占比 + 落货量 + 减仓优化</w:t>
      </w:r>
    </w:p>
    <w:p>
      <w:pPr>
        <w:ind w:left="0"/>
      </w:pPr>
      <w:r>
        <w:rPr>
          <w:b/>
          <w:sz w:val="22"/>
        </w:rPr>
        <w:t>6. 常见问题</w:t>
      </w:r>
    </w:p>
    <w:p>
      <w:pPr>
        <w:ind w:left="567"/>
      </w:pPr>
      <w:r>
        <w:rPr>
          <w:color w:val="555555"/>
          <w:sz w:val="20"/>
        </w:rPr>
        <w:t>Q1：目标期设定为5月，趋势因子参考哪些时间？</w:t>
      </w:r>
    </w:p>
    <w:p>
      <w:pPr>
        <w:ind w:left="567"/>
      </w:pPr>
      <w:r>
        <w:rPr>
          <w:color w:val="555555"/>
          <w:sz w:val="20"/>
        </w:rPr>
        <w:t>Q2：强季节和弱季节品类怎么区分？</w:t>
      </w:r>
    </w:p>
    <w:p>
      <w:pPr>
        <w:ind w:left="567"/>
      </w:pPr>
      <w:r>
        <w:rPr>
          <w:color w:val="555555"/>
          <w:sz w:val="20"/>
        </w:rPr>
        <w:t>Q3：同月跨年衰减率 λ_same 和非同月衰减率 λ 有什么区别？</w:t>
      </w:r>
    </w:p>
    <w:p>
      <w:pPr>
        <w:ind w:left="567"/>
      </w:pPr>
      <w:r>
        <w:rPr>
          <w:color w:val="555555"/>
          <w:sz w:val="20"/>
        </w:rPr>
        <w:t>Q4：新品怎么判定？</w:t>
      </w:r>
    </w:p>
    <w:p>
      <w:pPr>
        <w:ind w:left="567"/>
      </w:pPr>
      <w:r>
        <w:rPr>
          <w:color w:val="555555"/>
          <w:sz w:val="20"/>
        </w:rPr>
        <w:t>Q5：减仓优化影响上层聚合吗？</w:t>
      </w:r>
    </w:p>
    <w:p>
      <w:pPr>
        <w:ind w:left="567"/>
      </w:pPr>
      <w:r>
        <w:rPr>
          <w:color w:val="555555"/>
          <w:sz w:val="20"/>
        </w:rPr>
        <w:t>Q6：四仓占比一定等于100%吗？</w:t>
      </w:r>
    </w:p>
    <w:p>
      <w:pPr>
        <w:ind w:left="567"/>
      </w:pPr>
      <w:r>
        <w:rPr>
          <w:color w:val="555555"/>
          <w:sz w:val="20"/>
        </w:rPr>
        <w:t>Q7：趋势因子用什么数据计算？低单量SKU会怎样？</w:t>
      </w:r>
    </w:p>
    <w:p>
      <w:pPr>
        <w:ind w:left="0"/>
      </w:pPr>
      <w:r>
        <w:rPr>
          <w:b/>
          <w:sz w:val="22"/>
        </w:rPr>
        <w:t>7. 更新记录</w:t>
      </w:r>
    </w:p>
    <w:p>
      <w:pPr>
        <w:ind w:left="567"/>
      </w:pPr>
      <w:r>
        <w:rPr>
          <w:color w:val="555555"/>
          <w:sz w:val="20"/>
        </w:rPr>
        <w:t>v5（2026-10）口径修复专项</w:t>
      </w:r>
    </w:p>
    <w:p>
      <w:r>
        <w:br w:type="page"/>
      </w:r>
    </w:p>
    <w:p>
      <w:pPr>
        <w:pStyle w:val="Heading1"/>
      </w:pPr>
      <w:r>
        <w:t>分仓占比计算引擎 - 使用说明</w:t>
      </w:r>
    </w:p>
    <w:p>
      <w:r>
        <w:t>上传历史出单数据 → 调节参数 → 计算各仓库发货占比 → 导出结果</w:t>
      </w:r>
    </w:p>
    <w:p>
      <w:r>
        <w:t>四仓占比合计恒为 100% | 最大余额法保证落货量整数精确 | 自动体检防静默失效</w:t>
      </w:r>
    </w:p>
    <w:p>
      <w:pPr>
        <w:pStyle w:val="Heading1"/>
      </w:pPr>
      <w:r>
        <w:t>1. 系统概述</w:t>
      </w:r>
    </w:p>
    <w:p>
      <w:pPr>
        <w:pStyle w:val="Heading2"/>
      </w:pPr>
      <w:r>
        <w:t>1.1 为什么需要这个工具</w:t>
      </w:r>
    </w:p>
    <w:p>
      <w:r>
        <w:t>分仓占比计算引擎是一款面向跨境电商运营人员的工具，用于计算各 SKU 在四个仓库（美西、美东、美南GA、美南TX）的发货占比。</w:t>
      </w:r>
    </w:p>
    <w:p>
      <w:r>
        <w:t>公司现状：运算发货月份的分仓数据时，仅参考去年同期的订单数据。这一做法存在以下问题：</w:t>
      </w:r>
    </w:p>
    <w:p>
      <w:r>
        <w:t>问题一：非季节性产品缺乏合理性</w:t>
      </w:r>
    </w:p>
    <w:p>
      <w:pPr>
        <w:pStyle w:val="ListBullet"/>
      </w:pPr>
      <w:r>
        <w:t>非季节性产品的分仓分布在各月份相对稳定，仅参考去年同一个月的数据样本量小、偶然性大</w:t>
      </w:r>
    </w:p>
    <w:p>
      <w:pPr>
        <w:pStyle w:val="ListBullet"/>
      </w:pPr>
      <w:r>
        <w:t>例如某SKU去年同月美西10单、美东8单，但全年看美西占60%、美东占40%，仅用同月数据会放大偶然偏差</w:t>
      </w:r>
    </w:p>
    <w:p>
      <w:r>
        <w:t>问题二：新品数据不稳定</w:t>
      </w:r>
    </w:p>
    <w:p>
      <w:pPr>
        <w:pStyle w:val="ListBullet"/>
      </w:pPr>
      <w:r>
        <w:t>新品上架初期出单量小、分仓随机性大，直接照搬去年同期数据会导致分仓比例失真</w:t>
      </w:r>
    </w:p>
    <w:p>
      <w:pPr>
        <w:pStyle w:val="ListBullet"/>
      </w:pPr>
      <w:r>
        <w:t>特别是上架不足3个月的新品，几乎没有可参考的历史分仓数据</w:t>
      </w:r>
    </w:p>
    <w:p>
      <w:r>
        <w:t>问题三：其他年份数据未合理利用</w:t>
      </w:r>
    </w:p>
    <w:p>
      <w:pPr>
        <w:pStyle w:val="ListBullet"/>
      </w:pPr>
      <w:r>
        <w:t>仅参考去年同月，前年同月和其他月份的数据被完全忽略</w:t>
      </w:r>
    </w:p>
    <w:p>
      <w:pPr>
        <w:pStyle w:val="ListBullet"/>
      </w:pPr>
      <w:r>
        <w:t>前年同月的数据对趋势判断有价值，其他月份的数据对非季节性产品有参考意义</w:t>
      </w:r>
    </w:p>
    <w:p>
      <w:pPr>
        <w:pStyle w:val="ListBullet"/>
      </w:pPr>
      <w:r>
        <w:t>大量历史数据闲置，未发挥应有的辅助作用</w:t>
      </w:r>
    </w:p>
    <w:p>
      <w:pPr>
        <w:pStyle w:val="Heading2"/>
      </w:pPr>
      <w:r>
        <w:t>1.2 本工具如何解决这些问题</w:t>
      </w:r>
    </w:p>
    <w:p>
      <w:r>
        <w:t>针对问题一（非季节性产品）：全量数据+时间衰减加权</w:t>
      </w:r>
    </w:p>
    <w:p>
      <w:pPr>
        <w:pStyle w:val="ListBullet"/>
      </w:pPr>
      <w:r>
        <w:t>非季节性产品使用全部历史月份的数据，而非仅去年同月</w:t>
      </w:r>
    </w:p>
    <w:p>
      <w:pPr>
        <w:pStyle w:val="ListBullet"/>
      </w:pPr>
      <w:r>
        <w:t>时间越近的数据权重越大（指数衰减），既充分利用历史数据又突出近期趋势</w:t>
      </w:r>
    </w:p>
    <w:p>
      <w:pPr>
        <w:pStyle w:val="ListBullet"/>
      </w:pPr>
      <w:r>
        <w:t>月份相似度加权：同月权重最高（1.0），相邻月次之（0.6），隔2月再次（0.3），隔3月以上最低（0.1）</w:t>
      </w:r>
    </w:p>
    <w:p>
      <w:r>
        <w:t>针对问题二（新品不稳定）：基准占比层级回退+贝叶斯收缩</w:t>
      </w:r>
    </w:p>
    <w:p>
      <w:pPr>
        <w:pStyle w:val="ListBullet"/>
      </w:pPr>
      <w:r>
        <w:t>新品（历史出单月数≤2 或 目标期同月单量&lt;20）自身权重为0，完全使用基准占比</w:t>
      </w:r>
    </w:p>
    <w:p>
      <w:pPr>
        <w:pStyle w:val="ListBullet"/>
      </w:pPr>
      <w:r>
        <w:t>基准按 SPU → 一级分类 → 室内外 → 全公司 逐层回退，数据少的层级自动回退到更稳定的父层</w:t>
      </w:r>
    </w:p>
    <w:p>
      <w:pPr>
        <w:pStyle w:val="ListBullet"/>
      </w:pPr>
      <w:r>
        <w:t>每层通过贝叶斯收缩平衡自身数据与父层基准，数据量越大越信任自身，数据量越小越信任父层</w:t>
      </w:r>
    </w:p>
    <w:p>
      <w:pPr>
        <w:pStyle w:val="ListBullet"/>
      </w:pPr>
      <w:r>
        <w:t>基准取数口径：目标期是未来的年月，历史数据按"月份"对齐（目标期同月，跨年累积），不按年月序列匹配</w:t>
      </w:r>
    </w:p>
    <w:p>
      <w:r>
        <w:t>针对问题三（其他年份未利用）：双层加权体系</w:t>
      </w:r>
    </w:p>
    <w:p>
      <w:pPr>
        <w:pStyle w:val="ListBullet"/>
      </w:pPr>
      <w:r>
        <w:t>第一层 — 时间衰减加权：同月跨年用 λ_same（0.95）衰减，非同月用 λ（0.80）衰减 + 月份相似度</w:t>
      </w:r>
    </w:p>
    <w:p>
      <w:pPr>
        <w:pStyle w:val="ListBullet"/>
      </w:pPr>
      <w:r>
        <w:t>第二层 — 趋势因子：比较去年同期与前年同期的分仓占比差，把趋势方向叠加到最终占比（动态α：≥100单用原始α，50-100单用α/2，&lt;50单跳过）</w:t>
      </w:r>
    </w:p>
    <w:p>
      <w:pPr>
        <w:pStyle w:val="ListBullet"/>
      </w:pPr>
      <w:r>
        <w:t>两个维度协同：时间衰减充分利用所有历史数据，趋势因子捕捉年度变化方向</w:t>
      </w:r>
    </w:p>
    <w:p>
      <w:pPr>
        <w:pStyle w:val="Heading2"/>
      </w:pPr>
      <w:r>
        <w:t>1.3 核心能力</w:t>
      </w:r>
    </w:p>
    <w:p>
      <w:pPr>
        <w:pStyle w:val="ListBullet"/>
      </w:pPr>
      <w:r>
        <w:t>时间衰减加权（含月份相似度）+ 趋势因子（含单量门槛+动态α）两层加权体系</w:t>
      </w:r>
    </w:p>
    <w:p>
      <w:pPr>
        <w:pStyle w:val="ListBullet"/>
      </w:pPr>
      <w:r>
        <w:t>基准占比层级回退：SPU → 一级分类 → 室内外 → 全公司，每层贝叶斯收缩</w:t>
      </w:r>
    </w:p>
    <w:p>
      <w:pPr>
        <w:pStyle w:val="ListBullet"/>
      </w:pPr>
      <w:r>
        <w:t>季节性分层检测：品类级自动推荐（分仓偏移量≥阈值）+ SKU级分层回退（SKU→SPU→品类→弱季节）</w:t>
      </w:r>
    </w:p>
    <w:p>
      <w:pPr>
        <w:pStyle w:val="ListBullet"/>
      </w:pPr>
      <w:r>
        <w:t>减仓优化：月均&lt;3单且占比&lt;5%的仓位自动减仓，占比等比分配到其他仓</w:t>
      </w:r>
    </w:p>
    <w:p>
      <w:pPr>
        <w:pStyle w:val="ListBullet"/>
      </w:pPr>
      <w:r>
        <w:t>四仓占比合计恒为 100%，落货量最大余额法保证整数精确</w:t>
      </w:r>
    </w:p>
    <w:p>
      <w:pPr>
        <w:pStyle w:val="ListBullet"/>
      </w:pPr>
      <w:r>
        <w:t>占比微调：拖动滑块调整四仓占比，自动补足到 100%，支持单SKU和批量微调</w:t>
      </w:r>
    </w:p>
    <w:p>
      <w:pPr>
        <w:pStyle w:val="ListBullet"/>
      </w:pPr>
      <w:r>
        <w:t>多维度导出：Excel（含聚合）、CSV（SKU级/全层级聚合/一级分类）</w:t>
      </w:r>
    </w:p>
    <w:p>
      <w:pPr>
        <w:pStyle w:val="Heading1"/>
      </w:pPr>
      <w:r>
        <w:t>2. 页面结构总览</w:t>
      </w:r>
    </w:p>
    <w:p>
      <w:r>
        <w:t>页面分为侧边栏（参数面板）和主区域（操作区）两部分。</w:t>
      </w:r>
    </w:p>
    <w:p>
      <w:pPr>
        <w:pStyle w:val="Heading2"/>
      </w:pPr>
      <w:r>
        <w:t>侧边栏 — 参数面板</w:t>
      </w:r>
    </w:p>
    <w:p>
      <w:r>
        <w:t>分为四个参数分组，从上到下依次为：</w:t>
      </w:r>
    </w:p>
    <w:p>
      <w:pPr>
        <w:pStyle w:val="ListBullet"/>
      </w:pPr>
      <w:r>
        <w:t>① 目标发货月份：选择起始年月和结束年月（如 2026年12月 → 2027年3月）</w:t>
      </w:r>
    </w:p>
    <w:p>
      <w:pPr>
        <w:pStyle w:val="ListBullet"/>
      </w:pPr>
      <w:r>
        <w:t>② 时间衰减加权：同月跨年衰减率 λ_same、非同月衰减率 λ</w:t>
      </w:r>
    </w:p>
    <w:p>
      <w:pPr>
        <w:pStyle w:val="ListBullet"/>
      </w:pPr>
      <w:r>
        <w:t>③ 趋势因子 α：趋势因子 α、单仓调整上限、趋势单量门槛（默认折叠）</w:t>
      </w:r>
    </w:p>
    <w:p>
      <w:pPr>
        <w:pStyle w:val="ListBullet"/>
      </w:pPr>
      <w:r>
        <w:t>④ 新品与基准：新品阈值、新品订单量门槛、收缩强度 k、权重上/下限、品类层观测数（默认折叠）</w:t>
      </w:r>
    </w:p>
    <w:p>
      <w:pPr>
        <w:pStyle w:val="Heading2"/>
      </w:pPr>
      <w:r>
        <w:t>主区域 — 操作区</w:t>
      </w:r>
    </w:p>
    <w:p>
      <w:r>
        <w:t>分为六个区块，从上到下依次为：</w:t>
      </w:r>
    </w:p>
    <w:p>
      <w:pPr>
        <w:pStyle w:val="ListBullet"/>
      </w:pPr>
      <w:r>
        <w:t>1. 上传数据：上传原始出单数据（CSV/Excel）或使用示例数据</w:t>
      </w:r>
    </w:p>
    <w:p>
      <w:pPr>
        <w:pStyle w:val="ListBullet"/>
      </w:pPr>
      <w:r>
        <w:t>2. 开始计算：蓝色边框容器内含季节适用品类多选、SKU级分仓偏移自动检测、减仓优化开关、计算按钮；右上角有下载说明按钮（Markdown 格式）</w:t>
      </w:r>
    </w:p>
    <w:p>
      <w:pPr>
        <w:pStyle w:val="ListBullet"/>
      </w:pPr>
      <w:r>
        <w:t>3. 计算结果：自动体检、KPI卡片（四仓加权平均占比）、SKU级表格（6个Tab含计算路径）、聚合层级占比</w:t>
      </w:r>
    </w:p>
    <w:p>
      <w:pPr>
        <w:pStyle w:val="ListBullet"/>
      </w:pPr>
      <w:r>
        <w:t>4. 占比微调：默认折叠，支持单个SKU微调和批量微调，滑块调整四仓占比，自动补足到 100%，生成落货量</w:t>
      </w:r>
    </w:p>
    <w:p>
      <w:pPr>
        <w:pStyle w:val="ListBullet"/>
      </w:pPr>
      <w:r>
        <w:t>5. 可视化：饼图、可搜索堆叠图（页码下拉框翻页）</w:t>
      </w:r>
    </w:p>
    <w:p>
      <w:pPr>
        <w:pStyle w:val="ListBullet"/>
      </w:pPr>
      <w:r>
        <w:t>6. 导出结果：Excel（含聚合）、CSV（SKU级）、CSV（全层级聚合）、CSV（一级分类）</w:t>
      </w:r>
    </w:p>
    <w:p>
      <w:pPr>
        <w:pStyle w:val="Heading1"/>
      </w:pPr>
      <w:r>
        <w:t>3. 侧边栏参数说明</w:t>
      </w:r>
    </w:p>
    <w:p>
      <w:pPr>
        <w:pStyle w:val="Heading2"/>
      </w:pPr>
      <w:r>
        <w:t>3.1 目标发货月份</w:t>
      </w:r>
    </w:p>
    <w:p>
      <w:r>
        <w:t>选择起始年月和结束年月，每个下拉框直接显示「2027年1月」这样的年月组合。支持跨年（如 2026年12月 → 2027年3月）。</w:t>
      </w:r>
    </w:p>
    <w:p>
      <w:r>
        <w:t>锚点 = 目标期中间月份。强季节品类只看目标期同月数据，弱季节品类放开全部月份。</w:t>
      </w:r>
    </w:p>
    <w:p>
      <w:pPr>
        <w:pStyle w:val="Heading2"/>
      </w:pPr>
      <w:r>
        <w:t>3.2 时间衰减加权</w:t>
      </w:r>
    </w:p>
    <w:p>
      <w:r>
        <w:t>控制历史数据的影响力。同月数据跨年衰减用 λ_same，非同月数据用 λ。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1134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566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</w:tcPr>
          <w:p>
            <w:r>
              <w:t>同月跨年衰减率 λ_same</w:t>
            </w:r>
          </w:p>
        </w:tc>
        <w:tc>
          <w:tcPr>
            <w:tcW w:type="dxa" w:w="1134"/>
          </w:tcPr>
          <w:p>
            <w:r>
              <w:t>0.95</w:t>
            </w:r>
          </w:p>
        </w:tc>
        <w:tc>
          <w:tcPr>
            <w:tcW w:type="dxa" w:w="5669"/>
          </w:tcPr>
          <w:p>
            <w:r>
              <w:t>同月数据跨年衰减。去年同月保留95%，前年同月保留90%</w:t>
            </w:r>
          </w:p>
        </w:tc>
      </w:tr>
      <w:tr>
        <w:tc>
          <w:tcPr>
            <w:tcW w:type="dxa" w:w="2835"/>
          </w:tcPr>
          <w:p>
            <w:r>
              <w:t>非同月衰减率 λ</w:t>
            </w:r>
          </w:p>
        </w:tc>
        <w:tc>
          <w:tcPr>
            <w:tcW w:type="dxa" w:w="1134"/>
          </w:tcPr>
          <w:p>
            <w:r>
              <w:t>0.80</w:t>
            </w:r>
          </w:p>
        </w:tc>
        <w:tc>
          <w:tcPr>
            <w:tcW w:type="dxa" w:w="5669"/>
          </w:tcPr>
          <w:p>
            <w:r>
              <w:t>弱季节品类的非同月数据按此衰减。1个月前80%，6个月前26%</w:t>
            </w:r>
          </w:p>
        </w:tc>
      </w:tr>
    </w:tbl>
    <w:p/>
    <w:p>
      <w:r>
        <w:t>分类逻辑：</w:t>
      </w:r>
    </w:p>
    <w:p>
      <w:pPr>
        <w:pStyle w:val="ListBullet"/>
      </w:pPr>
      <w:r>
        <w:t>强季节品类（庭院等）：只看目标期同月数据，用 λ_same 衰减</w:t>
      </w:r>
    </w:p>
    <w:p>
      <w:pPr>
        <w:pStyle w:val="ListBullet"/>
      </w:pPr>
      <w:r>
        <w:t>弱季节品类：同月数据用 λ_same 衰减，非同月数据用 λ 衰减</w:t>
      </w:r>
    </w:p>
    <w:p>
      <w:pPr>
        <w:pStyle w:val="ListBullet"/>
      </w:pPr>
      <w:r>
        <w:t>强季节品类的非同月数据：层级回退时用 λ 衰减（无同月数据时启用）</w:t>
      </w:r>
    </w:p>
    <w:p>
      <w:pPr>
        <w:pStyle w:val="Heading2"/>
      </w:pPr>
      <w:r>
        <w:t>3.3 趋势因子 α</w:t>
      </w:r>
    </w:p>
    <w:p>
      <w:r>
        <w:t>比较「去年同期」与「前年同期」的分仓占比差，把趋势方向叠加到最终占比上。使用原始单量占比计算。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1134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566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</w:tcPr>
          <w:p>
            <w:r>
              <w:t>趋势因子 α</w:t>
            </w:r>
          </w:p>
        </w:tc>
        <w:tc>
          <w:tcPr>
            <w:tcW w:type="dxa" w:w="1134"/>
          </w:tcPr>
          <w:p>
            <w:r>
              <w:t>0.3</w:t>
            </w:r>
          </w:p>
        </w:tc>
        <w:tc>
          <w:tcPr>
            <w:tcW w:type="dxa" w:w="5669"/>
          </w:tcPr>
          <w:p>
            <w:r>
              <w:t>趋势差 × α 叠加到最终占比。α=0 关闭</w:t>
            </w:r>
          </w:p>
        </w:tc>
      </w:tr>
      <w:tr>
        <w:tc>
          <w:tcPr>
            <w:tcW w:type="dxa" w:w="2835"/>
          </w:tcPr>
          <w:p>
            <w:r>
              <w:t>单仓调整上限</w:t>
            </w:r>
          </w:p>
        </w:tc>
        <w:tc>
          <w:tcPr>
            <w:tcW w:type="dxa" w:w="1134"/>
          </w:tcPr>
          <w:p>
            <w:r>
              <w:t>0.05</w:t>
            </w:r>
          </w:p>
        </w:tc>
        <w:tc>
          <w:tcPr>
            <w:tcW w:type="dxa" w:w="5669"/>
          </w:tcPr>
          <w:p>
            <w:r>
              <w:t>每个仓库的趋势调整幅度不超过 ±5%</w:t>
            </w:r>
          </w:p>
        </w:tc>
      </w:tr>
      <w:tr>
        <w:tc>
          <w:tcPr>
            <w:tcW w:type="dxa" w:w="2835"/>
          </w:tcPr>
          <w:p>
            <w:r>
              <w:t>趋势单量门槛</w:t>
            </w:r>
          </w:p>
        </w:tc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5669"/>
          </w:tcPr>
          <w:p>
            <w:r>
              <w:t>去年+前年同期总单量低于此值跳过趋势调整</w:t>
            </w:r>
          </w:p>
        </w:tc>
      </w:tr>
    </w:tbl>
    <w:p/>
    <w:p>
      <w:pPr>
        <w:pStyle w:val="Heading2"/>
      </w:pPr>
      <w:r>
        <w:t>3.4 新品与基准</w:t>
      </w:r>
    </w:p>
    <w:p>
      <w:r>
        <w:t>控制新品判定和自身数据与基准的混合比例。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1134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566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</w:tcPr>
          <w:p>
            <w:r>
              <w:t>新品阈值（月）</w:t>
            </w:r>
          </w:p>
        </w:tc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5669"/>
          </w:tcPr>
          <w:p>
            <w:r>
              <w:t>历史出单月数 ≤ 此值的 SKU 视为新品，完全使用基准占比（月数为去重年月的真实月数，非记录条数）</w:t>
            </w:r>
          </w:p>
        </w:tc>
      </w:tr>
      <w:tr>
        <w:tc>
          <w:tcPr>
            <w:tcW w:type="dxa" w:w="2835"/>
          </w:tcPr>
          <w:p>
            <w:r>
              <w:t>新品订单量门槛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5669"/>
          </w:tcPr>
          <w:p>
            <w:r>
              <w:t>目标期同月单量 &lt; 此值也视为新品，避免低单量SKU分仓偶然性</w:t>
            </w:r>
          </w:p>
        </w:tc>
      </w:tr>
      <w:tr>
        <w:tc>
          <w:tcPr>
            <w:tcW w:type="dxa" w:w="2835"/>
          </w:tcPr>
          <w:p>
            <w:r>
              <w:t>收缩强度 k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5669"/>
          </w:tcPr>
          <w:p>
            <w:r>
              <w:t>自身权重 = n / (n + k)，n = 自身样本月数（强季节=目标期同月有出单月数，弱季节=全历史有出单月数）。k越大越信任基准</w:t>
            </w:r>
          </w:p>
        </w:tc>
      </w:tr>
      <w:tr>
        <w:tc>
          <w:tcPr>
            <w:tcW w:type="dxa" w:w="2835"/>
          </w:tcPr>
          <w:p>
            <w:r>
              <w:t>权重下限</w:t>
            </w:r>
          </w:p>
        </w:tc>
        <w:tc>
          <w:tcPr>
            <w:tcW w:type="dxa" w:w="1134"/>
          </w:tcPr>
          <w:p>
            <w:r>
              <w:t>0.0</w:t>
            </w:r>
          </w:p>
        </w:tc>
        <w:tc>
          <w:tcPr>
            <w:tcW w:type="dxa" w:w="5669"/>
          </w:tcPr>
          <w:p>
            <w:r>
              <w:t>自身数据的最低权重。0=新品完全用基准</w:t>
            </w:r>
          </w:p>
        </w:tc>
      </w:tr>
      <w:tr>
        <w:tc>
          <w:tcPr>
            <w:tcW w:type="dxa" w:w="2835"/>
          </w:tcPr>
          <w:p>
            <w:r>
              <w:t>权重上限</w:t>
            </w:r>
          </w:p>
        </w:tc>
        <w:tc>
          <w:tcPr>
            <w:tcW w:type="dxa" w:w="1134"/>
          </w:tcPr>
          <w:p>
            <w:r>
              <w:t>0.85</w:t>
            </w:r>
          </w:p>
        </w:tc>
        <w:tc>
          <w:tcPr>
            <w:tcW w:type="dxa" w:w="5669"/>
          </w:tcPr>
          <w:p>
            <w:r>
              <w:t>自身数据的最高权重。0.85=最多85%用自身</w:t>
            </w:r>
          </w:p>
        </w:tc>
      </w:tr>
      <w:tr>
        <w:tc>
          <w:tcPr>
            <w:tcW w:type="dxa" w:w="2835"/>
          </w:tcPr>
          <w:p>
            <w:r>
              <w:t>品类层最小等效观测数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5669"/>
          </w:tcPr>
          <w:p>
            <w:r>
              <w:t>基准贝叶斯收缩参数。n=12时子层父层各50%</w:t>
            </w:r>
          </w:p>
        </w:tc>
      </w:tr>
    </w:tbl>
    <w:p/>
    <w:p>
      <w:r>
        <w:t>新品判定逻辑：历史出单月数 ≤ 阈值 或 目标期同月单量 &lt; 门槛 → 视为新品，自身权重=0，完全使用基准占比。门槛默认20单，避免低单量SKU分仓偶然性。注意：对弱季节 SKU，"目标期单量"同样只看目标期同月（而非全历史），门槛对强弱季节一视同仁。</w:t>
      </w:r>
    </w:p>
    <w:p>
      <w:pPr>
        <w:pStyle w:val="Heading1"/>
      </w:pPr>
      <w:r>
        <w:t>4. 主区域操作指南</w:t>
      </w:r>
    </w:p>
    <w:p>
      <w:pPr>
        <w:pStyle w:val="Heading2"/>
      </w:pPr>
      <w:r>
        <w:t>4.1 上传数据</w:t>
      </w:r>
    </w:p>
    <w:p>
      <w:r>
        <w:t>点击「上传原始出单数据」或使用示例数据。必需列：源SKU、SPU、室内外、一级分类、年、月、美西、美东、美南GA、美南TX。</w:t>
      </w:r>
    </w:p>
    <w:p>
      <w:r>
        <w:t>数据格式示例：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907"/>
          </w:tcPr>
          <w:p>
            <w:r>
              <w:rPr>
                <w:b/>
              </w:rPr>
              <w:t>源SKU</w:t>
            </w:r>
          </w:p>
        </w:tc>
        <w:tc>
          <w:tcPr>
            <w:tcW w:type="dxa" w:w="907"/>
          </w:tcPr>
          <w:p>
            <w:r>
              <w:rPr>
                <w:b/>
              </w:rPr>
              <w:t>SPU</w:t>
            </w:r>
          </w:p>
        </w:tc>
        <w:tc>
          <w:tcPr>
            <w:tcW w:type="dxa" w:w="907"/>
          </w:tcPr>
          <w:p>
            <w:r>
              <w:rPr>
                <w:b/>
              </w:rPr>
              <w:t>室内外</w:t>
            </w:r>
          </w:p>
        </w:tc>
        <w:tc>
          <w:tcPr>
            <w:tcW w:type="dxa" w:w="907"/>
          </w:tcPr>
          <w:p>
            <w:r>
              <w:rPr>
                <w:b/>
              </w:rPr>
              <w:t>一级分类</w:t>
            </w:r>
          </w:p>
        </w:tc>
        <w:tc>
          <w:tcPr>
            <w:tcW w:type="dxa" w:w="907"/>
          </w:tcPr>
          <w:p>
            <w:r>
              <w:rPr>
                <w:b/>
              </w:rPr>
              <w:t>年</w:t>
            </w:r>
          </w:p>
        </w:tc>
        <w:tc>
          <w:tcPr>
            <w:tcW w:type="dxa" w:w="907"/>
          </w:tcPr>
          <w:p>
            <w:r>
              <w:rPr>
                <w:b/>
              </w:rPr>
              <w:t>月</w:t>
            </w:r>
          </w:p>
        </w:tc>
        <w:tc>
          <w:tcPr>
            <w:tcW w:type="dxa" w:w="907"/>
          </w:tcPr>
          <w:p>
            <w:r>
              <w:rPr>
                <w:b/>
              </w:rPr>
              <w:t>美西</w:t>
            </w:r>
          </w:p>
        </w:tc>
        <w:tc>
          <w:tcPr>
            <w:tcW w:type="dxa" w:w="907"/>
          </w:tcPr>
          <w:p>
            <w:r>
              <w:rPr>
                <w:b/>
              </w:rPr>
              <w:t>美东</w:t>
            </w:r>
          </w:p>
        </w:tc>
        <w:tc>
          <w:tcPr>
            <w:tcW w:type="dxa" w:w="907"/>
          </w:tcPr>
          <w:p>
            <w:r>
              <w:rPr>
                <w:b/>
              </w:rPr>
              <w:t>美南GA</w:t>
            </w:r>
          </w:p>
        </w:tc>
        <w:tc>
          <w:tcPr>
            <w:tcW w:type="dxa" w:w="907"/>
          </w:tcPr>
          <w:p>
            <w:r>
              <w:rPr>
                <w:b/>
              </w:rPr>
              <w:t>美南TX</w:t>
            </w:r>
          </w:p>
        </w:tc>
      </w:tr>
      <w:tr>
        <w:tc>
          <w:tcPr>
            <w:tcW w:type="dxa" w:w="907"/>
          </w:tcPr>
          <w:p>
            <w:r>
              <w:t>NBGF050BROOS-V4</w:t>
            </w:r>
          </w:p>
        </w:tc>
        <w:tc>
          <w:tcPr>
            <w:tcW w:type="dxa" w:w="907"/>
          </w:tcPr>
          <w:p>
            <w:r>
              <w:t>NBGF050BROOS</w:t>
            </w:r>
          </w:p>
        </w:tc>
        <w:tc>
          <w:tcPr>
            <w:tcW w:type="dxa" w:w="907"/>
          </w:tcPr>
          <w:p>
            <w:r>
              <w:t>室内</w:t>
            </w:r>
          </w:p>
        </w:tc>
        <w:tc>
          <w:tcPr>
            <w:tcW w:type="dxa" w:w="907"/>
          </w:tcPr>
          <w:p>
            <w:r>
              <w:t>庭院</w:t>
            </w:r>
          </w:p>
        </w:tc>
        <w:tc>
          <w:tcPr>
            <w:tcW w:type="dxa" w:w="907"/>
          </w:tcPr>
          <w:p>
            <w:r>
              <w:t>2026</w:t>
            </w:r>
          </w:p>
        </w:tc>
        <w:tc>
          <w:tcPr>
            <w:tcW w:type="dxa" w:w="907"/>
          </w:tcPr>
          <w:p>
            <w:r>
              <w:t>5</w:t>
            </w:r>
          </w:p>
        </w:tc>
        <w:tc>
          <w:tcPr>
            <w:tcW w:type="dxa" w:w="907"/>
          </w:tcPr>
          <w:p>
            <w:r>
              <w:t>12</w:t>
            </w:r>
          </w:p>
        </w:tc>
        <w:tc>
          <w:tcPr>
            <w:tcW w:type="dxa" w:w="907"/>
          </w:tcPr>
          <w:p>
            <w:r>
              <w:t>8</w:t>
            </w:r>
          </w:p>
        </w:tc>
        <w:tc>
          <w:tcPr>
            <w:tcW w:type="dxa" w:w="907"/>
          </w:tcPr>
          <w:p>
            <w:r>
              <w:t>3</w:t>
            </w:r>
          </w:p>
        </w:tc>
        <w:tc>
          <w:tcPr>
            <w:tcW w:type="dxa" w:w="907"/>
          </w:tcPr>
          <w:p>
            <w:r>
              <w:t>2</w:t>
            </w:r>
          </w:p>
        </w:tc>
      </w:tr>
    </w:tbl>
    <w:p/>
    <w:p>
      <w:r>
        <w:t>上传后可展开「数据体检 + 预览」查看总行数、SKU数、品类数、时间跨度。</w:t>
      </w:r>
    </w:p>
    <w:p>
      <w:pPr>
        <w:pStyle w:val="Heading2"/>
      </w:pPr>
      <w:r>
        <w:t>4.2 开始计算</w:t>
      </w:r>
    </w:p>
    <w:p>
      <w:r>
        <w:t>在主页面蓝色边框容器内设置：</w:t>
      </w:r>
    </w:p>
    <w:p>
      <w:pPr>
        <w:pStyle w:val="ListBullet"/>
      </w:pPr>
      <w:r>
        <w:t>季节适用品类：多选框，默认根据分仓偏移量自动推荐强季节品类（偏移量≥15%的品类默认勾选），用户可手动增减</w:t>
      </w:r>
    </w:p>
    <w:p>
      <w:pPr>
        <w:pStyle w:val="ListBullet"/>
      </w:pPr>
      <w:r>
        <w:t>SKU级分仓偏移自动检测：三个滑块（强季节偏移阈值5-50%默认20%，弱季节偏移阈值1-30%默认10%，品类层偏移阈值5-40%默认15%）。系统算每个SKU目标期vs非目标期的四仓占比差异（偏移量=四仓占比差值绝对值之和）。偏移≥强阈值→强季节，≤弱阈值→弱季节，中间→回退到SPU层→品类层</w:t>
      </w:r>
    </w:p>
    <w:p>
      <w:pPr>
        <w:pStyle w:val="ListBullet"/>
      </w:pPr>
      <w:r>
        <w:t>分层检测逻辑：SKU自身数据（目标期和非目标期各≥50单）→SPU层（同条件）→品类层→弱季节（数据不足时用全部月份加权）</w:t>
      </w:r>
    </w:p>
    <w:p>
      <w:pPr>
        <w:pStyle w:val="ListBullet"/>
      </w:pPr>
      <w:r>
        <w:t>减仓优化：勾选开关，月均单量上限和占比上限可自定义，启用后符合条件自动减仓</w:t>
      </w:r>
    </w:p>
    <w:p>
      <w:pPr>
        <w:pStyle w:val="ListBullet"/>
      </w:pPr>
      <w:r>
        <w:t>点击「开始计算」按钮，系统分5步逐步显示计算进度</w:t>
      </w:r>
    </w:p>
    <w:p>
      <w:pPr>
        <w:pStyle w:val="Heading2"/>
      </w:pPr>
      <w:r>
        <w:t>4.3 计算结果</w:t>
      </w:r>
    </w:p>
    <w:p>
      <w:r>
        <w:t>计算完成后展示：</w:t>
      </w:r>
    </w:p>
    <w:p>
      <w:pPr>
        <w:pStyle w:val="ListBullet"/>
      </w:pPr>
      <w:r>
        <w:t>自动体检：四仓占比合计=100%、季节性判定生效（含分仓偏移量统计）、趋势因子生效数（含动态α）</w:t>
      </w:r>
    </w:p>
    <w:p>
      <w:pPr>
        <w:pStyle w:val="ListBullet"/>
      </w:pPr>
      <w:r>
        <w:t>KPI卡片：美西、美东、美南GA、美南TX 四仓加权平均占比（按各SKU目标期出单量加权，含与基准的差值）</w:t>
      </w:r>
    </w:p>
    <w:p>
      <w:pPr>
        <w:pStyle w:val="ListBullet"/>
      </w:pPr>
      <w:r>
        <w:t>SKU级表格：6个分页Tab（调整后/最终/自身/基准/趋势差/计算路径），基础列含季节偏移量和季节性来源；计算路径Tab可查看单个SKU的基本信息、计算参数和四仓占比明细</w:t>
      </w:r>
    </w:p>
    <w:p>
      <w:pPr>
        <w:pStyle w:val="ListBullet"/>
      </w:pPr>
      <w:r>
        <w:t>聚合层级：一级分类、室内外、SPU、全公司四个 Tab，展示各层级的分仓占比（按单量加权平均）</w:t>
      </w:r>
    </w:p>
    <w:p>
      <w:pPr>
        <w:pStyle w:val="Heading2"/>
      </w:pPr>
      <w:r>
        <w:t>4.4 占比微调</w:t>
      </w:r>
    </w:p>
    <w:p>
      <w:r>
        <w:t>默认折叠，点击展开。支持两种微调模式：</w:t>
      </w:r>
    </w:p>
    <w:p>
      <w:pPr>
        <w:pStyle w:val="ListBullet"/>
      </w:pPr>
      <w:r>
        <w:t>单个SKU微调：选择要微调的 SKU，拖动四个滑块调整占比（显示为整数百分比），实时显示四仓合计是否=100%，点击「自动补足到 100%」以改动最大的仓为准其余三仓按原比例补足，点击「🔄 恢复引擎值」一键回到系统计算结果，输入发运批量按修正后的占比生成落货量（最大余额法），可下载该 SKU 的调整结果 CSV</w:t>
      </w:r>
    </w:p>
    <w:p>
      <w:pPr>
        <w:pStyle w:val="ListBullet"/>
      </w:pPr>
      <w:r>
        <w:t>批量微调：选择品类/SPU/室内外维度，支持「整体偏移」（四仓各设增减百分点，合计需为0）或「直接设定占比」（四仓合计需为100%），一键应用到该组所有 SKU，可清除批量调整</w:t>
      </w:r>
    </w:p>
    <w:p>
      <w:pPr>
        <w:pStyle w:val="Heading2"/>
      </w:pPr>
      <w:r>
        <w:t>4.5 可视化</w:t>
      </w:r>
    </w:p>
    <w:p>
      <w:pPr>
        <w:pStyle w:val="ListBullet"/>
      </w:pPr>
      <w:r>
        <w:t>饼图：展示单个 SKU 的四仓占比，含标签和百分比</w:t>
      </w:r>
    </w:p>
    <w:p>
      <w:pPr>
        <w:pStyle w:val="ListBullet"/>
      </w:pPr>
      <w:r>
        <w:t>堆叠图：支持按 SKU 名搜索，页码下拉框翻页浏览全部SKU，合计恒为 100%</w:t>
      </w:r>
    </w:p>
    <w:p>
      <w:pPr>
        <w:pStyle w:val="ListBullet"/>
      </w:pPr>
      <w:r>
        <w:t>聚合堆叠图：一级分类和室内外层级也展示堆叠柱状图</w:t>
      </w:r>
    </w:p>
    <w:p>
      <w:pPr>
        <w:pStyle w:val="Heading2"/>
      </w:pPr>
      <w:r>
        <w:t>4.6 导出结果</w:t>
      </w:r>
    </w:p>
    <w:p>
      <w:pPr>
        <w:pStyle w:val="ListBullet"/>
      </w:pPr>
      <w:r>
        <w:t>Excel（含聚合）：SKU级占比 + 一级分类/室内外/SPU/全公司聚合</w:t>
      </w:r>
    </w:p>
    <w:p>
      <w:pPr>
        <w:pStyle w:val="ListBullet"/>
      </w:pPr>
      <w:r>
        <w:t>CSV（SKU级）：仅 SKU 级占比数据</w:t>
      </w:r>
    </w:p>
    <w:p>
      <w:pPr>
        <w:pStyle w:val="ListBullet"/>
      </w:pPr>
      <w:r>
        <w:t>CSV（全层级聚合）：一级分类+室内外+SPU+全公司，按层级列区分</w:t>
      </w:r>
    </w:p>
    <w:p>
      <w:pPr>
        <w:pStyle w:val="ListBullet"/>
      </w:pPr>
      <w:r>
        <w:t>CSV（一级分类）：仅一级分类聚合占比</w:t>
      </w:r>
    </w:p>
    <w:p>
      <w:pPr>
        <w:pStyle w:val="Heading1"/>
      </w:pPr>
      <w:r>
        <w:t>5. 计算逻辑说明</w:t>
      </w:r>
    </w:p>
    <w:p>
      <w:r>
        <w:t>计算链路共5步，点击「开始计算」后逐步显示进度：</w:t>
      </w:r>
    </w:p>
    <w:p>
      <w:pPr>
        <w:pStyle w:val="Heading2"/>
      </w:pPr>
      <w:r>
        <w:t>步骤1：运算SKU映射</w:t>
      </w:r>
    </w:p>
    <w:p>
      <w:r>
        <w:t>混用SKU映射表把源SKU合并到相似SKU；未映射的取「-」前部分作为运算SKU。</w:t>
      </w:r>
    </w:p>
    <w:p>
      <w:pPr>
        <w:pStyle w:val="Heading2"/>
      </w:pPr>
      <w:r>
        <w:t>步骤2：时间衰减加权</w:t>
      </w:r>
    </w:p>
    <w:p>
      <w:r>
        <w:t>时间衰减 × 月份相似度。同月数据用 λ_same（0.95）跨年衰减。非同月数据用 λ（0.80）衰减，再乘月份相似度权重（同月1.0/相邻月0.6/隔2月0.3/隔3月以上0.1），让目标月附近的非同月数据也有参考价值。</w:t>
      </w:r>
    </w:p>
    <w:p>
      <w:pPr>
        <w:pStyle w:val="Heading2"/>
      </w:pPr>
      <w:r>
        <w:t>步骤3：自身占比（含分仓偏移分层检测）</w:t>
      </w:r>
    </w:p>
    <w:p>
      <w:r>
        <w:t>加权后的各仓出单量 ÷ 加权合计，逐仓计算。</w:t>
      </w:r>
    </w:p>
    <w:p>
      <w:r>
        <w:t>系统先算每个SKU的"分仓偏移量"=目标期四仓占比 vs 非目标期四仓占比的差异（绝对值之和），再分层判断：</w:t>
      </w:r>
    </w:p>
    <w:p>
      <w:pPr>
        <w:pStyle w:val="ListBullet"/>
      </w:pPr>
      <w:r>
        <w:t>第1层：SKU自身偏移量（目标期和非目标期各≥50单时）→ 偏移≥20%强季节，≤10%弱季节</w:t>
      </w:r>
    </w:p>
    <w:p>
      <w:pPr>
        <w:pStyle w:val="ListBullet"/>
      </w:pPr>
      <w:r>
        <w:t>第2层：SPU层偏移量（同条件时）→ 同样阈值</w:t>
      </w:r>
    </w:p>
    <w:p>
      <w:pPr>
        <w:pStyle w:val="ListBullet"/>
      </w:pPr>
      <w:r>
        <w:t>第3层：品类层偏移量 → ≥15%强季节，≤10%弱季节</w:t>
      </w:r>
    </w:p>
    <w:p>
      <w:pPr>
        <w:pStyle w:val="ListBullet"/>
      </w:pPr>
      <w:r>
        <w:t>第4层：以上都不满足 → 弱季节，用全部月份加权</w:t>
      </w:r>
    </w:p>
    <w:p>
      <w:r>
        <w:t>强季节只用目标期同月数据，弱季节用全部月份加权。中间地带（10%-20%）回退到下一层判断。</w:t>
      </w:r>
    </w:p>
    <w:p>
      <w:r>
        <w:t>这样即使庭院冬天单量少但美南占比明显偏高（强季节特征），也能被正确识别，不会被"单量少"误判为弱季节。</w:t>
      </w:r>
    </w:p>
    <w:p>
      <w:pPr>
        <w:pStyle w:val="Heading2"/>
      </w:pPr>
      <w:r>
        <w:t>步骤4：基准占比</w:t>
      </w:r>
    </w:p>
    <w:p>
      <w:r>
        <w:t>层级回退 + 贝叶斯收缩（全部从导入数据动态计算）。</w:t>
      </w:r>
    </w:p>
    <w:p>
      <w:r>
        <w:t>取数口径：基准样本 = 历史中所有"目标期同月"的记录（如目标期为 2027年1-3月，则取 2024/2025/2026 各年 1-3 月）。目标期是未来年月，不按年月序列匹配。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134"/>
          </w:tcPr>
          <w:p>
            <w:r>
              <w:rPr>
                <w:b/>
              </w:rPr>
              <w:t>基准来源</w:t>
            </w:r>
          </w:p>
        </w:tc>
        <w:tc>
          <w:tcPr>
            <w:tcW w:type="dxa" w:w="566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</w:tcPr>
          <w:p>
            <w:r>
              <w:t>1</w:t>
            </w:r>
          </w:p>
        </w:tc>
        <w:tc>
          <w:tcPr>
            <w:tcW w:type="dxa" w:w="1134"/>
          </w:tcPr>
          <w:p>
            <w:r>
              <w:t>SPU</w:t>
            </w:r>
          </w:p>
        </w:tc>
        <w:tc>
          <w:tcPr>
            <w:tcW w:type="dxa" w:w="5669"/>
          </w:tcPr>
          <w:p>
            <w:r>
              <w:t>贝叶斯收缩，父层=所属一级分类</w:t>
            </w:r>
          </w:p>
        </w:tc>
      </w:tr>
      <w:tr>
        <w:tc>
          <w:tcPr>
            <w:tcW w:type="dxa" w:w="2835"/>
          </w:tcPr>
          <w:p>
            <w:r>
              <w:t>2</w:t>
            </w:r>
          </w:p>
        </w:tc>
        <w:tc>
          <w:tcPr>
            <w:tcW w:type="dxa" w:w="1134"/>
          </w:tcPr>
          <w:p>
            <w:r>
              <w:t>一级分类</w:t>
            </w:r>
          </w:p>
        </w:tc>
        <w:tc>
          <w:tcPr>
            <w:tcW w:type="dxa" w:w="5669"/>
          </w:tcPr>
          <w:p>
            <w:r>
              <w:t>贝叶斯收缩，父层=全公司</w:t>
            </w:r>
          </w:p>
        </w:tc>
      </w:tr>
      <w:tr>
        <w:tc>
          <w:tcPr>
            <w:tcW w:type="dxa" w:w="2835"/>
          </w:tcPr>
          <w:p>
            <w:r>
              <w:t>3</w:t>
            </w:r>
          </w:p>
        </w:tc>
        <w:tc>
          <w:tcPr>
            <w:tcW w:type="dxa" w:w="1134"/>
          </w:tcPr>
          <w:p>
            <w:r>
              <w:t>室内外</w:t>
            </w:r>
          </w:p>
        </w:tc>
        <w:tc>
          <w:tcPr>
            <w:tcW w:type="dxa" w:w="5669"/>
          </w:tcPr>
          <w:p>
            <w:r>
              <w:t>贝叶斯收缩，父层=全公司</w:t>
            </w:r>
          </w:p>
        </w:tc>
      </w:tr>
      <w:tr>
        <w:tc>
          <w:tcPr>
            <w:tcW w:type="dxa" w:w="2835"/>
          </w:tcPr>
          <w:p>
            <w:r>
              <w:t>4</w:t>
            </w:r>
          </w:p>
        </w:tc>
        <w:tc>
          <w:tcPr>
            <w:tcW w:type="dxa" w:w="1134"/>
          </w:tcPr>
          <w:p>
            <w:r>
              <w:t>全公司</w:t>
            </w:r>
          </w:p>
        </w:tc>
        <w:tc>
          <w:tcPr>
            <w:tcW w:type="dxa" w:w="5669"/>
          </w:tcPr>
          <w:p>
            <w:r>
              <w:t>整体占比兜底</w:t>
            </w:r>
          </w:p>
        </w:tc>
      </w:tr>
    </w:tbl>
    <w:p/>
    <w:p>
      <w:r>
        <w:t>贝叶斯收缩公式：子层权重 = n / (n + k_cat)，父层权重 = k_cat / (n + k_cat)。k_cat=12时，n=12则子层父层各50%。</w:t>
      </w:r>
    </w:p>
    <w:p>
      <w:pPr>
        <w:pStyle w:val="Heading2"/>
      </w:pPr>
      <w:r>
        <w:t>步骤5：最终占比 + 落货量 + 减仓优化</w:t>
      </w:r>
    </w:p>
    <w:p>
      <w:r>
        <w:t>最终占比 = 自身权重 × 自身占比 + (1-自身权重) × 基准占比，再叠加趋势调整，最后归一化到 100%。</w:t>
      </w:r>
    </w:p>
    <w:p>
      <w:r>
        <w:t>新品（历史出单月数≤2 或 目标期同月单量&lt;20）自身权重=0，完全使用基准。</w:t>
      </w:r>
    </w:p>
    <w:p>
      <w:r>
        <w:t>趋势调整用原始单量占比，比较去年同期 vs 前年同期的占比差。单量门槛+动态α：去年+前年同期总单量≥100用原始α，50-100单用α/2，&lt;50单或任一侧为0单跳过趋势调整。</w:t>
      </w:r>
    </w:p>
    <w:p>
      <w:r>
        <w:t>落货量 = 占比 × 批量，最大余额法保证整数合计精确等于批量。</w:t>
      </w:r>
    </w:p>
    <w:p>
      <w:r>
        <w:t>减仓优化（可选）：启用后，对运算SKU × 仓点判断月均单量和占比是否低于自定义阈值，符合条件则减仓，占比等比分配到其他仓。仅影响SKU层，上层聚合使用减仓前原始数据。</w:t>
      </w:r>
    </w:p>
    <w:p>
      <w:pPr>
        <w:pStyle w:val="Heading1"/>
      </w:pPr>
      <w:r>
        <w:t>6. 常见问题</w:t>
      </w:r>
    </w:p>
    <w:p>
      <w:pPr>
        <w:pStyle w:val="Heading2"/>
      </w:pPr>
      <w:r>
        <w:t>Q1：目标期设定为5月，趋势因子参考哪些时间？</w:t>
      </w:r>
    </w:p>
    <w:p>
      <w:r>
        <w:t>趋势因子比较去年同期（2026年5月）与前年同期（2025年5月）的原始单量占比差。多月目标期（如4-6月）则参考4-6月。</w:t>
      </w:r>
    </w:p>
    <w:p>
      <w:pPr>
        <w:pStyle w:val="Heading2"/>
      </w:pPr>
      <w:r>
        <w:t>Q2：强季节和弱季节品类怎么区分？</w:t>
      </w:r>
    </w:p>
    <w:p>
      <w:r>
        <w:t>系统算"分仓偏移量"=目标期四仓占比 vs 非目标期四仓占比的差异（绝对值之和）。偏移量大说明分仓分布随季节变化大→强季节，偏移小说明分仓稳定→弱季节。分层检测：先看SKU自身数据（需目标期和非目标期各≥50单），不够回退到SPU层→品类层。SKU/SPU层偏移≥20%→强，≤10%→弱；品类层≥15%→强。强季节只用目标期同月数据，弱季节用全部月份加权。阈值可在"开始计算"区域滑块调节。</w:t>
      </w:r>
    </w:p>
    <w:p>
      <w:pPr>
        <w:pStyle w:val="Heading2"/>
      </w:pPr>
      <w:r>
        <w:t>Q3：同月跨年衰减率 λ_same 和非同月衰减率 λ 有什么区别？</w:t>
      </w:r>
    </w:p>
    <w:p>
      <w:r>
        <w:t>λ_same（0.95）用于同月数据跨年衰减，去年同月保留95%，前年同月保留90%。λ（0.80）用于弱季节品类的非同月数据衰减，1个月前80%，6个月前26%。同月数据参考价值更高，所以衰减更慢。</w:t>
      </w:r>
    </w:p>
    <w:p>
      <w:pPr>
        <w:pStyle w:val="Heading2"/>
      </w:pPr>
      <w:r>
        <w:t>Q4：新品怎么判定？</w:t>
      </w:r>
    </w:p>
    <w:p>
      <w:r>
        <w:t>历史出单月数 ≤ 2（去重年月的真实月数）或 目标期同月单量 &lt; 20，满足任一即视为新品。新品自身权重=0，完全使用基准占比（从 SPU 到全公司逐级回退）。</w:t>
      </w:r>
    </w:p>
    <w:p>
      <w:pPr>
        <w:pStyle w:val="Heading2"/>
      </w:pPr>
      <w:r>
        <w:t>Q5：减仓优化影响上层聚合吗？</w:t>
      </w:r>
    </w:p>
    <w:p>
      <w:r>
        <w:t>不影响。减仓仅修改 SKU 层的「调整后」列，一级分类/室内外/SPU/全公司的聚合使用减仓前的原始数据。</w:t>
      </w:r>
    </w:p>
    <w:p>
      <w:pPr>
        <w:pStyle w:val="Heading2"/>
      </w:pPr>
      <w:r>
        <w:t>Q6：四仓占比一定等于100%吗？</w:t>
      </w:r>
    </w:p>
    <w:p>
      <w:r>
        <w:t>是的。引擎计算后自动归一化，趋势调整后再次归一化，微调时自动补足，自检验证偏差 &lt; 1e-9。</w:t>
      </w:r>
    </w:p>
    <w:p>
      <w:pPr>
        <w:pStyle w:val="Heading2"/>
      </w:pPr>
      <w:r>
        <w:t>Q7：趋势因子用什么数据计算？低单量SKU会怎样？</w:t>
      </w:r>
    </w:p>
    <w:p>
      <w:r>
        <w:t>趋势因子用原始单量占比（不加衰减权重），比较去年同期 vs 前年同期的分仓占比差。动态α：≥100单用原始α，50-100单用α/2，&lt;50单跳过趋势调整。与时间衰减加权作用层不同，互不干扰。</w:t>
      </w:r>
    </w:p>
    <w:p>
      <w:pPr>
        <w:pStyle w:val="Heading1"/>
      </w:pPr>
      <w:r>
        <w:t>7. 更新记录</w:t>
      </w:r>
    </w:p>
    <w:p>
      <w:pPr>
        <w:pStyle w:val="Heading2"/>
      </w:pPr>
      <w:r>
        <w:t>v5（2026-10）口径修复专项</w:t>
      </w:r>
    </w:p>
    <w:p>
      <w:r>
        <w:t>本次修复 6 个口径/语义问题，计算结果与旧版会有差异，属预期修正：</w:t>
      </w:r>
    </w:p>
    <w:p>
      <w:pPr>
        <w:pStyle w:val="ListNumber"/>
      </w:pPr>
      <w:r>
        <w:t>基准占比取数口径：「在目标期」打标由"年月序列区间"改为"月份匹配"。目标期是未来年月（如 2027年1-3月），序列匹配会落在历史数据范围之外，导致基准样本为空、四仓基准退化为 25%×4；月份匹配后与引擎自身/季节判定口径统一。修复后基准层级正常分布（SPU/一级分类/室内外），全公司兜底基准为真实占比（如默认目标期下 美西21.4%/美东25.0%/美南GA35.8%/美南TX17.7%）。</w:t>
      </w:r>
    </w:p>
    <w:p>
      <w:pPr>
        <w:pStyle w:val="ListNumber"/>
      </w:pPr>
      <w:r>
        <w:t>趋势窗口跟随目标期：界面显示的趋势对比窗口（目标期平移1年/2年）显式注入引擎，不再依赖 params.json 的冻结配置；自动推导分支统一 anchor 为"目标期中点"语义，与界面一致。</w:t>
      </w:r>
    </w:p>
    <w:p>
      <w:pPr>
        <w:pStyle w:val="ListNumber"/>
      </w:pPr>
      <w:r>
        <w:t>λ_same 单位修正为年语义：同月衰减率按"年差"计算（去年同月=0.95，前年同月=0.95²≈0.90），与界面文案一致；此前误按月数衰减（去年同月实际仅 0.95¹²≈0.54），历史被过度衰减。非同月 λ 仍为月语义（每月 ×0.80），不变。</w:t>
      </w:r>
    </w:p>
    <w:p>
      <w:pPr>
        <w:pStyle w:val="ListNumber"/>
      </w:pPr>
      <w:r>
        <w:t>自身权重 n 改为真实月数：n = 有出单的去重年月数（强季节=目标期同月月数，弱季节=全历史月数），不再用记录条数（多变体 SKU 条数远大于月数，会虚增自身权重）。k=8 的标定语义不变。</w:t>
      </w:r>
    </w:p>
    <w:p>
      <w:pPr>
        <w:pStyle w:val="ListNumber"/>
      </w:pPr>
      <w:r>
        <w:t>结果列名修正：「目标期月数」更名「自身样本月数」；「历史月数」现为真实去重月数（此前为记录条数，可能数倍于真实月数）。</w:t>
      </w:r>
    </w:p>
    <w:p>
      <w:pPr>
        <w:pStyle w:val="ListNumber"/>
      </w:pPr>
      <w:r>
        <w:t>新品门槛对弱季节生效：「目标期单量」统一为目标期同月原始单量（弱季节 SKU 此前误用全历史单量，门槛几乎不触发）。修复后新品数量会明显增多（默认参数下约 55%），如需降低新品比例可调低"新品订单量门槛"。</w:t>
      </w:r>
    </w:p>
    <w:p>
      <w:r>
        <w:t>另新增自检项「基准层级未退化」：若超过 90% SKU 的基准退化为全公司 25%×4，体检会预警提示口径问题。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 xml:space="preserve">第 </w:t>
    </w:r>
    <w:r>
      <w:rPr>
        <w:color w:val="999999"/>
        <w:sz w:val="18"/>
      </w:rPr>
      <w:fldChar w:fldCharType="begin"/>
      <w:instrText xml:space="preserve">PAGE</w:instrText>
      <w:fldChar w:fldCharType="end"/>
    </w:r>
    <w:r>
      <w:rPr>
        <w:color w:val="999999"/>
        <w:sz w:val="18"/>
      </w:rPr>
      <w:t xml:space="preserve"> 页 / 共 </w:t>
    </w:r>
    <w:r>
      <w:rPr>
        <w:color w:val="999999"/>
        <w:sz w:val="18"/>
      </w:rPr>
      <w:fldChar w:fldCharType="begin"/>
      <w:instrText xml:space="preserve">NUMPAGES</w:instrText>
      <w:fldChar w:fldCharType="end"/>
    </w:r>
    <w:r>
      <w:rPr>
        <w:color w:val="99999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99999"/>
        <w:sz w:val="18"/>
      </w:rPr>
      <w:t>分仓占比计算引擎 — 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