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pPr>
        <w:ind w:left="0"/>
      </w:pPr>
      <w:r>
        <w:rPr>
          <w:b/>
          <w:sz w:val="22"/>
        </w:rPr>
        <w:t>1. 系统概述</w:t>
      </w:r>
    </w:p>
    <w:p>
      <w:pPr>
        <w:ind w:left="0"/>
      </w:pPr>
      <w:r>
        <w:rPr>
          <w:b/>
          <w:sz w:val="22"/>
        </w:rPr>
        <w:t>2. 页面结构总览</w:t>
      </w:r>
    </w:p>
    <w:p>
      <w:pPr>
        <w:ind w:left="567"/>
      </w:pPr>
      <w:r>
        <w:rPr>
          <w:color w:val="555555"/>
          <w:sz w:val="20"/>
        </w:rPr>
        <w:t>侧边栏 — 参数面板</w:t>
      </w:r>
    </w:p>
    <w:p>
      <w:pPr>
        <w:ind w:left="567"/>
      </w:pPr>
      <w:r>
        <w:rPr>
          <w:color w:val="555555"/>
          <w:sz w:val="20"/>
        </w:rPr>
        <w:t>主区域 — 操作区</w:t>
      </w:r>
    </w:p>
    <w:p>
      <w:pPr>
        <w:ind w:left="0"/>
      </w:pPr>
      <w:r>
        <w:rPr>
          <w:b/>
          <w:sz w:val="22"/>
        </w:rPr>
        <w:t>3. 侧边栏参数说明</w:t>
      </w:r>
    </w:p>
    <w:p>
      <w:pPr>
        <w:ind w:left="567"/>
      </w:pPr>
      <w:r>
        <w:rPr>
          <w:color w:val="555555"/>
          <w:sz w:val="20"/>
        </w:rPr>
        <w:t>3.1 目标发货月份</w:t>
      </w:r>
    </w:p>
    <w:p>
      <w:pPr>
        <w:ind w:left="567"/>
      </w:pPr>
      <w:r>
        <w:rPr>
          <w:color w:val="555555"/>
          <w:sz w:val="20"/>
        </w:rPr>
        <w:t>3.2 时间衰减加权</w:t>
      </w:r>
    </w:p>
    <w:p>
      <w:pPr>
        <w:ind w:left="567"/>
      </w:pPr>
      <w:r>
        <w:rPr>
          <w:color w:val="555555"/>
          <w:sz w:val="20"/>
        </w:rPr>
        <w:t>3.3 趋势因子 α</w:t>
      </w:r>
    </w:p>
    <w:p>
      <w:pPr>
        <w:ind w:left="567"/>
      </w:pPr>
      <w:r>
        <w:rPr>
          <w:color w:val="555555"/>
          <w:sz w:val="20"/>
        </w:rPr>
        <w:t>3.4 新品与基准</w:t>
      </w:r>
    </w:p>
    <w:p>
      <w:pPr>
        <w:ind w:left="0"/>
      </w:pPr>
      <w:r>
        <w:rPr>
          <w:b/>
          <w:sz w:val="22"/>
        </w:rPr>
        <w:t>4. 主区域操作指南</w:t>
      </w:r>
    </w:p>
    <w:p>
      <w:pPr>
        <w:ind w:left="567"/>
      </w:pPr>
      <w:r>
        <w:rPr>
          <w:color w:val="555555"/>
          <w:sz w:val="20"/>
        </w:rPr>
        <w:t>4.1 上传数据</w:t>
      </w:r>
    </w:p>
    <w:p>
      <w:pPr>
        <w:ind w:left="567"/>
      </w:pPr>
      <w:r>
        <w:rPr>
          <w:color w:val="555555"/>
          <w:sz w:val="20"/>
        </w:rPr>
        <w:t>4.2 开始计算</w:t>
      </w:r>
    </w:p>
    <w:p>
      <w:pPr>
        <w:ind w:left="567"/>
      </w:pPr>
      <w:r>
        <w:rPr>
          <w:color w:val="555555"/>
          <w:sz w:val="20"/>
        </w:rPr>
        <w:t>4.3 计算结果</w:t>
      </w:r>
    </w:p>
    <w:p>
      <w:pPr>
        <w:ind w:left="567"/>
      </w:pPr>
      <w:r>
        <w:rPr>
          <w:color w:val="555555"/>
          <w:sz w:val="20"/>
        </w:rPr>
        <w:t>4.4 占比微调</w:t>
      </w:r>
    </w:p>
    <w:p>
      <w:pPr>
        <w:ind w:left="567"/>
      </w:pPr>
      <w:r>
        <w:rPr>
          <w:color w:val="555555"/>
          <w:sz w:val="20"/>
        </w:rPr>
        <w:t>4.5 可视化</w:t>
      </w:r>
    </w:p>
    <w:p>
      <w:pPr>
        <w:ind w:left="567"/>
      </w:pPr>
      <w:r>
        <w:rPr>
          <w:color w:val="555555"/>
          <w:sz w:val="20"/>
        </w:rPr>
        <w:t>4.6 导出结果</w:t>
      </w:r>
    </w:p>
    <w:p>
      <w:pPr>
        <w:ind w:left="0"/>
      </w:pPr>
      <w:r>
        <w:rPr>
          <w:b/>
          <w:sz w:val="22"/>
        </w:rPr>
        <w:t>5. 计算逻辑说明</w:t>
      </w:r>
    </w:p>
    <w:p>
      <w:pPr>
        <w:ind w:left="567"/>
      </w:pPr>
      <w:r>
        <w:rPr>
          <w:color w:val="555555"/>
          <w:sz w:val="20"/>
        </w:rPr>
        <w:t>步骤1：运算SKU映射</w:t>
      </w:r>
    </w:p>
    <w:p>
      <w:pPr>
        <w:ind w:left="567"/>
      </w:pPr>
      <w:r>
        <w:rPr>
          <w:color w:val="555555"/>
          <w:sz w:val="20"/>
        </w:rPr>
        <w:t>步骤2：时间衰减加权</w:t>
      </w:r>
    </w:p>
    <w:p>
      <w:pPr>
        <w:ind w:left="567"/>
      </w:pPr>
      <w:r>
        <w:rPr>
          <w:color w:val="555555"/>
          <w:sz w:val="20"/>
        </w:rPr>
        <w:t>步骤3：自身占比（含季节品类分支 + SKU级集中度自动检测）</w:t>
      </w:r>
    </w:p>
    <w:p>
      <w:pPr>
        <w:ind w:left="567"/>
      </w:pPr>
      <w:r>
        <w:rPr>
          <w:color w:val="555555"/>
          <w:sz w:val="20"/>
        </w:rPr>
        <w:t>步骤4：基准占比</w:t>
      </w:r>
    </w:p>
    <w:p>
      <w:pPr>
        <w:ind w:left="567"/>
      </w:pPr>
      <w:r>
        <w:rPr>
          <w:color w:val="555555"/>
          <w:sz w:val="20"/>
        </w:rPr>
        <w:t>步骤5：最终占比 + 落货量 + 减仓优化</w:t>
      </w:r>
    </w:p>
    <w:p>
      <w:pPr>
        <w:ind w:left="0"/>
      </w:pPr>
      <w:r>
        <w:rPr>
          <w:b/>
          <w:sz w:val="22"/>
        </w:rPr>
        <w:t>6. 常见问题</w:t>
      </w:r>
    </w:p>
    <w:p>
      <w:pPr>
        <w:ind w:left="567"/>
      </w:pPr>
      <w:r>
        <w:rPr>
          <w:color w:val="555555"/>
          <w:sz w:val="20"/>
        </w:rPr>
        <w:t>Q1：目标期设定为5月，趋势因子参考哪些时间？</w:t>
      </w:r>
    </w:p>
    <w:p>
      <w:pPr>
        <w:ind w:left="567"/>
      </w:pPr>
      <w:r>
        <w:rPr>
          <w:color w:val="555555"/>
          <w:sz w:val="20"/>
        </w:rPr>
        <w:t>Q2：强季节和弱季节品类怎么区分？</w:t>
      </w:r>
    </w:p>
    <w:p>
      <w:pPr>
        <w:ind w:left="567"/>
      </w:pPr>
      <w:r>
        <w:rPr>
          <w:color w:val="555555"/>
          <w:sz w:val="20"/>
        </w:rPr>
        <w:t>Q3：同月跨年衰减率 λ_same 和非同月衰减率 λ 有什么区别？</w:t>
      </w:r>
    </w:p>
    <w:p>
      <w:pPr>
        <w:ind w:left="567"/>
      </w:pPr>
      <w:r>
        <w:rPr>
          <w:color w:val="555555"/>
          <w:sz w:val="20"/>
        </w:rPr>
        <w:t>Q4：新品怎么判定？</w:t>
      </w:r>
    </w:p>
    <w:p>
      <w:pPr>
        <w:ind w:left="567"/>
      </w:pPr>
      <w:r>
        <w:rPr>
          <w:color w:val="555555"/>
          <w:sz w:val="20"/>
        </w:rPr>
        <w:t>Q5：减仓优化影响上层聚合吗？</w:t>
      </w:r>
    </w:p>
    <w:p>
      <w:pPr>
        <w:ind w:left="567"/>
      </w:pPr>
      <w:r>
        <w:rPr>
          <w:color w:val="555555"/>
          <w:sz w:val="20"/>
        </w:rPr>
        <w:t>Q6：四仓占比一定等于100%吗？</w:t>
      </w:r>
    </w:p>
    <w:p>
      <w:pPr>
        <w:ind w:left="567"/>
      </w:pPr>
      <w:r>
        <w:rPr>
          <w:color w:val="555555"/>
          <w:sz w:val="20"/>
        </w:rPr>
        <w:t>Q7：趋势因子用什么数据计算？低单量SKU会怎样？</w:t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开始计算：蓝色边框容器内含季节适用品类多选、SKU级集中度自动检测、减仓优化开关、计算按钮；右上角有下载说明按钮（Word 和 Markdown 两种格式）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70%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集中度≥70%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中间（20%-70%）→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70%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