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pPr>
        <w:ind w:left="0"/>
      </w:pPr>
      <w:r>
        <w:rPr>
          <w:b/>
          <w:sz w:val="22"/>
        </w:rPr>
        <w:t>1. 系统概述</w:t>
      </w:r>
    </w:p>
    <w:p>
      <w:pPr>
        <w:ind w:left="0"/>
      </w:pPr>
      <w:r>
        <w:rPr>
          <w:b/>
          <w:sz w:val="22"/>
        </w:rPr>
        <w:t>2. 页面结构总览</w:t>
      </w:r>
    </w:p>
    <w:p>
      <w:pPr>
        <w:ind w:left="567"/>
      </w:pPr>
      <w:r>
        <w:rPr>
          <w:color w:val="555555"/>
          <w:sz w:val="20"/>
        </w:rPr>
        <w:t>侧边栏 — 参数面板</w:t>
      </w:r>
    </w:p>
    <w:p>
      <w:pPr>
        <w:ind w:left="567"/>
      </w:pPr>
      <w:r>
        <w:rPr>
          <w:color w:val="555555"/>
          <w:sz w:val="20"/>
        </w:rPr>
        <w:t>主区域 — 操作区</w:t>
      </w:r>
    </w:p>
    <w:p>
      <w:pPr>
        <w:ind w:left="0"/>
      </w:pPr>
      <w:r>
        <w:rPr>
          <w:b/>
          <w:sz w:val="22"/>
        </w:rPr>
        <w:t>3. 侧边栏参数说明</w:t>
      </w:r>
    </w:p>
    <w:p>
      <w:pPr>
        <w:ind w:left="567"/>
      </w:pPr>
      <w:r>
        <w:rPr>
          <w:color w:val="555555"/>
          <w:sz w:val="20"/>
        </w:rPr>
        <w:t>3.1 目标发货月份</w:t>
      </w:r>
    </w:p>
    <w:p>
      <w:pPr>
        <w:ind w:left="567"/>
      </w:pPr>
      <w:r>
        <w:rPr>
          <w:color w:val="555555"/>
          <w:sz w:val="20"/>
        </w:rPr>
        <w:t>3.2 时间衰减加权</w:t>
      </w:r>
    </w:p>
    <w:p>
      <w:pPr>
        <w:ind w:left="567"/>
      </w:pPr>
      <w:r>
        <w:rPr>
          <w:color w:val="555555"/>
          <w:sz w:val="20"/>
        </w:rPr>
        <w:t>3.3 趋势因子 α</w:t>
      </w:r>
    </w:p>
    <w:p>
      <w:pPr>
        <w:ind w:left="567"/>
      </w:pPr>
      <w:r>
        <w:rPr>
          <w:color w:val="555555"/>
          <w:sz w:val="20"/>
        </w:rPr>
        <w:t>3.4 新品与基准</w:t>
      </w:r>
    </w:p>
    <w:p>
      <w:pPr>
        <w:ind w:left="0"/>
      </w:pPr>
      <w:r>
        <w:rPr>
          <w:b/>
          <w:sz w:val="22"/>
        </w:rPr>
        <w:t>4. 主区域操作指南</w:t>
      </w:r>
    </w:p>
    <w:p>
      <w:pPr>
        <w:ind w:left="567"/>
      </w:pPr>
      <w:r>
        <w:rPr>
          <w:color w:val="555555"/>
          <w:sz w:val="20"/>
        </w:rPr>
        <w:t>4.1 上传数据</w:t>
      </w:r>
    </w:p>
    <w:p>
      <w:pPr>
        <w:ind w:left="567"/>
      </w:pPr>
      <w:r>
        <w:rPr>
          <w:color w:val="555555"/>
          <w:sz w:val="20"/>
        </w:rPr>
        <w:t>4.2 开始计算</w:t>
      </w:r>
    </w:p>
    <w:p>
      <w:pPr>
        <w:ind w:left="567"/>
      </w:pPr>
      <w:r>
        <w:rPr>
          <w:color w:val="555555"/>
          <w:sz w:val="20"/>
        </w:rPr>
        <w:t>4.3 计算结果</w:t>
      </w:r>
    </w:p>
    <w:p>
      <w:pPr>
        <w:ind w:left="567"/>
      </w:pPr>
      <w:r>
        <w:rPr>
          <w:color w:val="555555"/>
          <w:sz w:val="20"/>
        </w:rPr>
        <w:t>4.4 占比微调</w:t>
      </w:r>
    </w:p>
    <w:p>
      <w:pPr>
        <w:ind w:left="567"/>
      </w:pPr>
      <w:r>
        <w:rPr>
          <w:color w:val="555555"/>
          <w:sz w:val="20"/>
        </w:rPr>
        <w:t>4.5 可视化</w:t>
      </w:r>
    </w:p>
    <w:p>
      <w:pPr>
        <w:ind w:left="567"/>
      </w:pPr>
      <w:r>
        <w:rPr>
          <w:color w:val="555555"/>
          <w:sz w:val="20"/>
        </w:rPr>
        <w:t>4.6 导出结果</w:t>
      </w:r>
    </w:p>
    <w:p>
      <w:pPr>
        <w:ind w:left="0"/>
      </w:pPr>
      <w:r>
        <w:rPr>
          <w:b/>
          <w:sz w:val="22"/>
        </w:rPr>
        <w:t>5. 计算逻辑说明</w:t>
      </w:r>
    </w:p>
    <w:p>
      <w:pPr>
        <w:ind w:left="567"/>
      </w:pPr>
      <w:r>
        <w:rPr>
          <w:color w:val="555555"/>
          <w:sz w:val="20"/>
        </w:rPr>
        <w:t>步骤1：运算SKU映射</w:t>
      </w:r>
    </w:p>
    <w:p>
      <w:pPr>
        <w:ind w:left="567"/>
      </w:pPr>
      <w:r>
        <w:rPr>
          <w:color w:val="555555"/>
          <w:sz w:val="20"/>
        </w:rPr>
        <w:t>步骤2：时间衰减加权</w:t>
      </w:r>
    </w:p>
    <w:p>
      <w:pPr>
        <w:ind w:left="567"/>
      </w:pPr>
      <w:r>
        <w:rPr>
          <w:color w:val="555555"/>
          <w:sz w:val="20"/>
        </w:rPr>
        <w:t>步骤3：自身占比（含分仓偏移分层检测）</w:t>
      </w:r>
    </w:p>
    <w:p>
      <w:pPr>
        <w:ind w:left="567"/>
      </w:pPr>
      <w:r>
        <w:rPr>
          <w:color w:val="555555"/>
          <w:sz w:val="20"/>
        </w:rPr>
        <w:t>步骤4：基准占比</w:t>
      </w:r>
    </w:p>
    <w:p>
      <w:pPr>
        <w:ind w:left="567"/>
      </w:pPr>
      <w:r>
        <w:rPr>
          <w:color w:val="555555"/>
          <w:sz w:val="20"/>
        </w:rPr>
        <w:t>步骤5：最终占比 + 落货量 + 减仓优化</w:t>
      </w:r>
    </w:p>
    <w:p>
      <w:pPr>
        <w:ind w:left="0"/>
      </w:pPr>
      <w:r>
        <w:rPr>
          <w:b/>
          <w:sz w:val="22"/>
        </w:rPr>
        <w:t>6. 常见问题</w:t>
      </w:r>
    </w:p>
    <w:p>
      <w:pPr>
        <w:ind w:left="567"/>
      </w:pPr>
      <w:r>
        <w:rPr>
          <w:color w:val="555555"/>
          <w:sz w:val="20"/>
        </w:rPr>
        <w:t>Q1：目标期设定为5月，趋势因子参考哪些时间？</w:t>
      </w:r>
    </w:p>
    <w:p>
      <w:pPr>
        <w:ind w:left="567"/>
      </w:pPr>
      <w:r>
        <w:rPr>
          <w:color w:val="555555"/>
          <w:sz w:val="20"/>
        </w:rPr>
        <w:t>Q2：强季节和弱季节品类怎么区分？</w:t>
      </w:r>
    </w:p>
    <w:p>
      <w:pPr>
        <w:ind w:left="567"/>
      </w:pPr>
      <w:r>
        <w:rPr>
          <w:color w:val="555555"/>
          <w:sz w:val="20"/>
        </w:rPr>
        <w:t>Q3：同月跨年衰减率 λ_same 和非同月衰减率 λ 有什么区别？</w:t>
      </w:r>
    </w:p>
    <w:p>
      <w:pPr>
        <w:ind w:left="567"/>
      </w:pPr>
      <w:r>
        <w:rPr>
          <w:color w:val="555555"/>
          <w:sz w:val="20"/>
        </w:rPr>
        <w:t>Q4：新品怎么判定？</w:t>
      </w:r>
    </w:p>
    <w:p>
      <w:pPr>
        <w:ind w:left="567"/>
      </w:pPr>
      <w:r>
        <w:rPr>
          <w:color w:val="555555"/>
          <w:sz w:val="20"/>
        </w:rPr>
        <w:t>Q5：减仓优化影响上层聚合吗？</w:t>
      </w:r>
    </w:p>
    <w:p>
      <w:pPr>
        <w:ind w:left="567"/>
      </w:pPr>
      <w:r>
        <w:rPr>
          <w:color w:val="555555"/>
          <w:sz w:val="20"/>
        </w:rPr>
        <w:t>Q6：四仓占比一定等于100%吗？</w:t>
      </w:r>
    </w:p>
    <w:p>
      <w:pPr>
        <w:ind w:left="567"/>
      </w:pPr>
      <w:r>
        <w:rPr>
          <w:color w:val="555555"/>
          <w:sz w:val="20"/>
        </w:rPr>
        <w:t>Q7：趋势因子用什么数据计算？低单量SKU会怎样？</w:t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开始计算：蓝色边框容器内含季节适用品类多选、SKU级分仓偏移自动检测、减仓优化开关、计算按钮；右上角有下载说明按钮（Markdown 格式）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季节适用品类：多选框，默认根据分仓偏移量自动推荐强季节品类（偏移量≥15%的品类默认勾选），用户可手动增减</w:t>
      </w:r>
    </w:p>
    <w:p>
      <w:pPr>
        <w:pStyle w:val="ListBullet"/>
      </w:pPr>
      <w:r>
        <w:t>SKU级分仓偏移自动检测：三个滑块（强季节偏移阈值5-50%默认20%，弱季节偏移阈值1-30%默认10%，品类层偏移阈值5-40%默认15%）。系统算每个SKU目标期vs非目标期的四仓占比差异（偏移量=四仓占比差值绝对值之和）。偏移≥强阈值→强季节，≤弱阈值→弱季节，中间→回退到SPU层→品类层</w:t>
      </w:r>
    </w:p>
    <w:p>
      <w:pPr>
        <w:pStyle w:val="ListBullet"/>
      </w:pPr>
      <w:r>
        <w:t>分层检测逻辑：SKU自身数据（目标期和非目标期各≥50单）→SPU层（同条件）→品类层→弱季节（数据不足时用全部月份加权）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自动体检：四仓占比合计=100%、季节性判定生效（含分仓偏移量统计）、趋势因子生效数（含动态α）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SKU级表格：6个分页Tab（调整后/最终/自身/基准/趋势差/计算路径），基础列含季节偏移量和季节性来源；计算路径Tab可查看单个SKU的基本信息、计算参数和四仓占比明细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步骤3：自身占比（含分仓偏移分层检测）</w:t>
      </w:r>
    </w:p>
    <w:p>
      <w:r>
        <w:t>加权后的各仓出单量 ÷ 加权合计，逐仓计算。</w:t>
      </w:r>
    </w:p>
    <w:p>
      <w:r>
        <w:t>系统先算每个SKU的"分仓偏移量"=目标期四仓占比 vs 非目标期四仓占比的差异（绝对值之和），再分层判断：</w:t>
      </w:r>
    </w:p>
    <w:p>
      <w:pPr>
        <w:pStyle w:val="ListBullet"/>
      </w:pPr>
      <w:r>
        <w:t>第1层：SKU自身偏移量（目标期和非目标期各≥50单时）→ 偏移≥20%强季节，≤10%弱季节</w:t>
      </w:r>
    </w:p>
    <w:p>
      <w:pPr>
        <w:pStyle w:val="ListBullet"/>
      </w:pPr>
      <w:r>
        <w:t>第2层：SPU层偏移量（同条件时）→ 同样阈值</w:t>
      </w:r>
    </w:p>
    <w:p>
      <w:pPr>
        <w:pStyle w:val="ListBullet"/>
      </w:pPr>
      <w:r>
        <w:t>第3层：品类层偏移量 → ≥15%强季节，≤10%弱季节</w:t>
      </w:r>
    </w:p>
    <w:p>
      <w:pPr>
        <w:pStyle w:val="ListBullet"/>
      </w:pPr>
      <w:r>
        <w:t>第4层：以上都不满足 → 弱季节，用全部月份加权</w:t>
      </w:r>
    </w:p>
    <w:p>
      <w:r>
        <w:t>强季节只用目标期同月数据，弱季节用全部月份加权。中间地带（10%-20%）回退到下一层判断。</w:t>
      </w:r>
    </w:p>
    <w:p>
      <w:r>
        <w:t>这样即使庭院冬天单量少但美南占比明显偏高（强季节特征），也能被正确识别，不会被"单量少"误判为弱季节。</w:t>
      </w:r>
    </w:p>
    <w:p>
      <w:pPr>
        <w:pStyle w:val="Heading2"/>
      </w:pPr>
      <w:r>
        <w:t>步骤4：基准占比</w:t>
      </w:r>
    </w:p>
    <w:p>
      <w:r>
        <w:t>层级回退 + 贝叶斯收缩（全部从导入数据动态计算）：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一级分类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室内外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系统算"分仓偏移量"=目标期四仓占比 vs 非目标期四仓占比的差异（绝对值之和）。偏移量大说明分仓分布随季节变化大→强季节，偏移小说明分仓稳定→弱季节。分层检测：先看SKU自身数据（需目标期和非目标期各≥50单），不够回退到SPU层→品类层。SKU/SPU层偏移≥20%→强，≤10%→弱；品类层≥15%→强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