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5CB0"/>
          <w:sz w:val="52"/>
        </w:rPr>
        <w:t>分仓占比计算引擎</w:t>
      </w:r>
    </w:p>
    <w:p>
      <w:pPr>
        <w:jc w:val="center"/>
      </w:pPr>
      <w:r>
        <w:rPr>
          <w:color w:val="555555"/>
          <w:sz w:val="32"/>
        </w:rPr>
        <w:t>使用说明</w:t>
      </w:r>
    </w:p>
    <w:p/>
    <w:p>
      <w:pPr>
        <w:jc w:val="center"/>
      </w:pPr>
      <w:r>
        <w:rPr>
          <w:color w:val="888888"/>
          <w:sz w:val="22"/>
        </w:rPr>
        <w:t>上传历史出单数据 → 调节参数 → 计算各仓库发货占比 → 导出结果</w:t>
      </w:r>
    </w:p>
    <w:p>
      <w:pPr>
        <w:jc w:val="center"/>
      </w:pPr>
      <w:r>
        <w:rPr>
          <w:color w:val="888888"/>
          <w:sz w:val="22"/>
        </w:rPr>
        <w:t>四仓占比合计恒为 100%  |  最大余额法保证落货量整数精确  |  自动体检防静默失效</w:t>
      </w:r>
    </w:p>
    <w:p/>
    <w:p>
      <w:pPr>
        <w:jc w:val="right"/>
      </w:pPr>
      <w:r>
        <w:rPr>
          <w:color w:val="999999"/>
          <w:sz w:val="18"/>
        </w:rPr>
        <w:t>生成日期：2026-09-21  |  随代码同步更新</w:t>
      </w:r>
    </w:p>
    <w:p>
      <w:r>
        <w:br w:type="page"/>
      </w:r>
    </w:p>
    <w:p>
      <w:pPr>
        <w:jc w:val="center"/>
      </w:pPr>
      <w:r>
        <w:rPr>
          <w:b/>
          <w:color w:val="1A5CB0"/>
          <w:sz w:val="32"/>
        </w:rPr>
        <w:t>目录</w:t>
      </w:r>
    </w:p>
    <w:p>
      <w:r>
        <w:fldChar w:fldCharType="begin"/>
        <w:instrText xml:space="preserve">TOC \o "1-2" \h \z \u</w:instrText>
        <w:fldChar w:fldCharType="separate"/>
        <w:t>右键更新域以生成目录</w:t>
        <w:fldChar w:fldCharType="end"/>
      </w:r>
    </w:p>
    <w:p>
      <w:r>
        <w:br w:type="page"/>
      </w:r>
    </w:p>
    <w:p>
      <w:pPr>
        <w:pStyle w:val="Heading1"/>
      </w:pPr>
      <w:r>
        <w:t>分仓占比计算引擎 - 使用说明</w:t>
      </w:r>
    </w:p>
    <w:p>
      <w:r>
        <w:t>上传历史出单数据 → 调节参数 → 计算各仓库发货占比 → 导出结果</w:t>
      </w:r>
    </w:p>
    <w:p>
      <w:r>
        <w:t>四仓占比合计恒为 100% | 最大余额法保证落货量整数精确 | 自动体检防静默失效</w:t>
      </w:r>
    </w:p>
    <w:p>
      <w:pPr>
        <w:pStyle w:val="Heading1"/>
      </w:pPr>
      <w:r>
        <w:t>1. 系统概述</w:t>
      </w:r>
    </w:p>
    <w:p>
      <w:r>
        <w:t>分仓占比计算引擎是一款面向跨境电商运营人员的工具，用于计算各 SKU 在四个仓库（美西、美东、美南GA、美南TX）的发货占比。</w:t>
      </w:r>
    </w:p>
    <w:p>
      <w:r>
        <w:t>核心能力：</w:t>
      </w:r>
    </w:p>
    <w:p>
      <w:pPr>
        <w:pStyle w:val="ListBullet"/>
      </w:pPr>
      <w:r>
        <w:t>基于历史出单数据计算各 SKU 的分仓占比，支持多年份数据</w:t>
      </w:r>
    </w:p>
    <w:p>
      <w:pPr>
        <w:pStyle w:val="ListBullet"/>
      </w:pPr>
      <w:r>
        <w:t>时间衰减加权（含月份相似度）+ 趋势因子（含单量门槛+动态α）两层加权体系</w:t>
      </w:r>
    </w:p>
    <w:p>
      <w:pPr>
        <w:pStyle w:val="ListBullet"/>
      </w:pPr>
      <w:r>
        <w:t>基准占比层级回退：SPU → 一级分类 → 室内外 → 全公司，每层贝叶斯收缩</w:t>
      </w:r>
    </w:p>
    <w:p>
      <w:pPr>
        <w:pStyle w:val="ListBullet"/>
      </w:pPr>
      <w:r>
        <w:t>减仓优化：月均&lt;3单且占比&lt;5%的仓位自动减仓，占比等比分配到其他仓</w:t>
      </w:r>
    </w:p>
    <w:p>
      <w:pPr>
        <w:pStyle w:val="ListBullet"/>
      </w:pPr>
      <w:r>
        <w:t>四仓占比合计恒为 100%，落货量最大余额法保证整数精确</w:t>
      </w:r>
    </w:p>
    <w:p>
      <w:pPr>
        <w:pStyle w:val="ListBullet"/>
      </w:pPr>
      <w:r>
        <w:t>占比微调：拖动滑块调整四仓占比，自动补足到 100%</w:t>
      </w:r>
    </w:p>
    <w:p>
      <w:pPr>
        <w:pStyle w:val="ListBullet"/>
      </w:pPr>
      <w:r>
        <w:t>多维度导出：Excel（含聚合）、CSV（SKU级/一级分类）</w:t>
      </w:r>
    </w:p>
    <w:p>
      <w:pPr>
        <w:pStyle w:val="Heading1"/>
      </w:pPr>
      <w:r>
        <w:t>2. 页面结构总览</w:t>
      </w:r>
    </w:p>
    <w:p>
      <w:r>
        <w:t>页面分为侧边栏（参数面板）和主区域（操作区）两部分。</w:t>
      </w:r>
    </w:p>
    <w:p>
      <w:pPr>
        <w:pStyle w:val="Heading2"/>
      </w:pPr>
      <w:r>
        <w:t>侧边栏 — 参数面板</w:t>
      </w:r>
    </w:p>
    <w:p>
      <w:r>
        <w:t>分为四个参数分组，从上到下依次为：</w:t>
      </w:r>
    </w:p>
    <w:p>
      <w:pPr>
        <w:pStyle w:val="ListBullet"/>
      </w:pPr>
      <w:r>
        <w:t>① 目标发货月份：选择起始年月和结束年月（如 2026年12月 → 2027年3月）</w:t>
      </w:r>
    </w:p>
    <w:p>
      <w:pPr>
        <w:pStyle w:val="ListBullet"/>
      </w:pPr>
      <w:r>
        <w:t>② 时间衰减加权：同月跨年衰减率 λ_same、非同月衰减率 λ</w:t>
      </w:r>
    </w:p>
    <w:p>
      <w:pPr>
        <w:pStyle w:val="ListBullet"/>
      </w:pPr>
      <w:r>
        <w:t>③ 趋势因子 α：趋势因子 α、单仓调整上限、趋势单量门槛（默认折叠）</w:t>
      </w:r>
    </w:p>
    <w:p>
      <w:pPr>
        <w:pStyle w:val="ListBullet"/>
      </w:pPr>
      <w:r>
        <w:t>④ 新品与基准：新品阈值、新品订单量门槛、收缩强度 k、权重上/下限、品类层观测数（默认折叠）</w:t>
      </w:r>
    </w:p>
    <w:p>
      <w:pPr>
        <w:pStyle w:val="Heading2"/>
      </w:pPr>
      <w:r>
        <w:t>主区域 — 操作区</w:t>
      </w:r>
    </w:p>
    <w:p>
      <w:r>
        <w:t>分为六个区块，从上到下依次为：</w:t>
      </w:r>
    </w:p>
    <w:p>
      <w:pPr>
        <w:pStyle w:val="ListBullet"/>
      </w:pPr>
      <w:r>
        <w:t>1. 上传数据：上传原始出单数据（CSV/Excel）或使用示例数据</w:t>
      </w:r>
    </w:p>
    <w:p>
      <w:pPr>
        <w:pStyle w:val="ListBullet"/>
      </w:pPr>
      <w:r>
        <w:t>2. 开始计算：蓝色边框容器内含季节适用品类多选、SKU级集中度自动检测、减仓优化开关、计算按钮；底部有下载说明按钮</w:t>
      </w:r>
    </w:p>
    <w:p>
      <w:pPr>
        <w:pStyle w:val="ListBullet"/>
      </w:pPr>
      <w:r>
        <w:t>3. 计算结果：自动体检、KPI卡片（四仓加权平均占比）、SKU级表格（6个Tab含计算路径）、聚合层级占比</w:t>
      </w:r>
    </w:p>
    <w:p>
      <w:pPr>
        <w:pStyle w:val="ListBullet"/>
      </w:pPr>
      <w:r>
        <w:t>4. 占比微调：默认折叠，支持单个SKU微调和批量微调，滑块调整四仓占比，自动补足到 100%，生成落货量</w:t>
      </w:r>
    </w:p>
    <w:p>
      <w:pPr>
        <w:pStyle w:val="ListBullet"/>
      </w:pPr>
      <w:r>
        <w:t>5. 可视化：饼图、可搜索堆叠图（页码下拉框翻页）</w:t>
      </w:r>
    </w:p>
    <w:p>
      <w:pPr>
        <w:pStyle w:val="ListBullet"/>
      </w:pPr>
      <w:r>
        <w:t>6. 导出结果：Excel（含聚合）、CSV（SKU级）、CSV（全层级聚合）、CSV（一级分类）</w:t>
      </w:r>
    </w:p>
    <w:p>
      <w:pPr>
        <w:pStyle w:val="Heading1"/>
      </w:pPr>
      <w:r>
        <w:t>3. 侧边栏参数说明</w:t>
      </w:r>
    </w:p>
    <w:p>
      <w:pPr>
        <w:pStyle w:val="Heading2"/>
      </w:pPr>
      <w:r>
        <w:t>3.1 目标发货月份</w:t>
      </w:r>
    </w:p>
    <w:p>
      <w:r>
        <w:t>选择起始年月和结束年月，每个下拉框直接显示「2027年1月」这样的年月组合。支持跨年（如 2026年12月 → 2027年3月）。</w:t>
      </w:r>
    </w:p>
    <w:p>
      <w:r>
        <w:t>锚点 = 目标期中间月份。强季节品类只看目标期同月数据，弱季节品类放开全部月份。</w:t>
      </w:r>
    </w:p>
    <w:p>
      <w:pPr>
        <w:pStyle w:val="Heading2"/>
      </w:pPr>
      <w:r>
        <w:t>3.2 时间衰减加权</w:t>
      </w:r>
    </w:p>
    <w:p>
      <w:r>
        <w:t>控制历史数据的影响力。同月数据跨年衰减用 λ_same，非同月数据用 λ。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1134"/>
          </w:tcPr>
          <w:p>
            <w:r>
              <w:rPr>
                <w:b/>
              </w:rPr>
              <w:t>默认值</w:t>
            </w:r>
          </w:p>
        </w:tc>
        <w:tc>
          <w:tcPr>
            <w:tcW w:type="dxa" w:w="566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35"/>
          </w:tcPr>
          <w:p>
            <w:r>
              <w:t>同月跨年衰减率 λ_same</w:t>
            </w:r>
          </w:p>
        </w:tc>
        <w:tc>
          <w:tcPr>
            <w:tcW w:type="dxa" w:w="1134"/>
          </w:tcPr>
          <w:p>
            <w:r>
              <w:t>0.95</w:t>
            </w:r>
          </w:p>
        </w:tc>
        <w:tc>
          <w:tcPr>
            <w:tcW w:type="dxa" w:w="5669"/>
          </w:tcPr>
          <w:p>
            <w:r>
              <w:t>同月数据跨年衰减。去年同月保留95%，前年同月保留90%</w:t>
            </w:r>
          </w:p>
        </w:tc>
      </w:tr>
      <w:tr>
        <w:tc>
          <w:tcPr>
            <w:tcW w:type="dxa" w:w="2835"/>
          </w:tcPr>
          <w:p>
            <w:r>
              <w:t>非同月衰减率 λ</w:t>
            </w:r>
          </w:p>
        </w:tc>
        <w:tc>
          <w:tcPr>
            <w:tcW w:type="dxa" w:w="1134"/>
          </w:tcPr>
          <w:p>
            <w:r>
              <w:t>0.85</w:t>
            </w:r>
          </w:p>
        </w:tc>
        <w:tc>
          <w:tcPr>
            <w:tcW w:type="dxa" w:w="5669"/>
          </w:tcPr>
          <w:p>
            <w:r>
              <w:t>弱季节品类的非同月数据按此衰减。1个月前85%，6个月前38%</w:t>
            </w:r>
          </w:p>
        </w:tc>
      </w:tr>
    </w:tbl>
    <w:p/>
    <w:p>
      <w:r>
        <w:t>分类逻辑：</w:t>
      </w:r>
    </w:p>
    <w:p>
      <w:pPr>
        <w:pStyle w:val="ListBullet"/>
      </w:pPr>
      <w:r>
        <w:t>强季节品类（庭院等）：只看目标期同月数据，用 λ_same 衰减</w:t>
      </w:r>
    </w:p>
    <w:p>
      <w:pPr>
        <w:pStyle w:val="ListBullet"/>
      </w:pPr>
      <w:r>
        <w:t>弱季节品类：同月数据用 λ_same 衰减，非同月数据用 λ 衰减</w:t>
      </w:r>
    </w:p>
    <w:p>
      <w:pPr>
        <w:pStyle w:val="ListBullet"/>
      </w:pPr>
      <w:r>
        <w:t>强季节品类的非同月数据：层级回退时用 λ 衰减（无同月数据时启用）</w:t>
      </w:r>
    </w:p>
    <w:p>
      <w:pPr>
        <w:pStyle w:val="Heading2"/>
      </w:pPr>
      <w:r>
        <w:t>3.3 趋势因子 α</w:t>
      </w:r>
    </w:p>
    <w:p>
      <w:r>
        <w:t>比较「去年同期」与「前年同期」的分仓占比差，把趋势方向叠加到最终占比上。使用原始单量占比计算。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1134"/>
          </w:tcPr>
          <w:p>
            <w:r>
              <w:rPr>
                <w:b/>
              </w:rPr>
              <w:t>默认值</w:t>
            </w:r>
          </w:p>
        </w:tc>
        <w:tc>
          <w:tcPr>
            <w:tcW w:type="dxa" w:w="566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35"/>
          </w:tcPr>
          <w:p>
            <w:r>
              <w:t>趋势因子 α</w:t>
            </w:r>
          </w:p>
        </w:tc>
        <w:tc>
          <w:tcPr>
            <w:tcW w:type="dxa" w:w="1134"/>
          </w:tcPr>
          <w:p>
            <w:r>
              <w:t>0.3</w:t>
            </w:r>
          </w:p>
        </w:tc>
        <w:tc>
          <w:tcPr>
            <w:tcW w:type="dxa" w:w="5669"/>
          </w:tcPr>
          <w:p>
            <w:r>
              <w:t>趋势差 × α 叠加到最终占比。α=0 关闭</w:t>
            </w:r>
          </w:p>
        </w:tc>
      </w:tr>
      <w:tr>
        <w:tc>
          <w:tcPr>
            <w:tcW w:type="dxa" w:w="2835"/>
          </w:tcPr>
          <w:p>
            <w:r>
              <w:t>单仓调整上限</w:t>
            </w:r>
          </w:p>
        </w:tc>
        <w:tc>
          <w:tcPr>
            <w:tcW w:type="dxa" w:w="1134"/>
          </w:tcPr>
          <w:p>
            <w:r>
              <w:t>0.05</w:t>
            </w:r>
          </w:p>
        </w:tc>
        <w:tc>
          <w:tcPr>
            <w:tcW w:type="dxa" w:w="5669"/>
          </w:tcPr>
          <w:p>
            <w:r>
              <w:t>每个仓库的趋势调整幅度不超过 ±5%</w:t>
            </w:r>
          </w:p>
        </w:tc>
      </w:tr>
      <w:tr>
        <w:tc>
          <w:tcPr>
            <w:tcW w:type="dxa" w:w="2835"/>
          </w:tcPr>
          <w:p>
            <w:r>
              <w:t>趋势单量门槛</w:t>
            </w:r>
          </w:p>
        </w:tc>
        <w:tc>
          <w:tcPr>
            <w:tcW w:type="dxa" w:w="1134"/>
          </w:tcPr>
          <w:p>
            <w:r>
              <w:t>50</w:t>
            </w:r>
          </w:p>
        </w:tc>
        <w:tc>
          <w:tcPr>
            <w:tcW w:type="dxa" w:w="5669"/>
          </w:tcPr>
          <w:p>
            <w:r>
              <w:t>去年+前年同期总单量低于此值跳过趋势调整</w:t>
            </w:r>
          </w:p>
        </w:tc>
      </w:tr>
    </w:tbl>
    <w:p/>
    <w:p>
      <w:pPr>
        <w:pStyle w:val="Heading2"/>
      </w:pPr>
      <w:r>
        <w:t>3.4 新品与基准</w:t>
      </w:r>
    </w:p>
    <w:p>
      <w:r>
        <w:t>控制新品判定和自身数据与基准的混合比例。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1134"/>
          </w:tcPr>
          <w:p>
            <w:r>
              <w:rPr>
                <w:b/>
              </w:rPr>
              <w:t>默认值</w:t>
            </w:r>
          </w:p>
        </w:tc>
        <w:tc>
          <w:tcPr>
            <w:tcW w:type="dxa" w:w="566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35"/>
          </w:tcPr>
          <w:p>
            <w:r>
              <w:t>新品阈值（月）</w:t>
            </w:r>
          </w:p>
        </w:tc>
        <w:tc>
          <w:tcPr>
            <w:tcW w:type="dxa" w:w="1134"/>
          </w:tcPr>
          <w:p>
            <w:r>
              <w:t>2</w:t>
            </w:r>
          </w:p>
        </w:tc>
        <w:tc>
          <w:tcPr>
            <w:tcW w:type="dxa" w:w="5669"/>
          </w:tcPr>
          <w:p>
            <w:r>
              <w:t>历史出单月数 ≤ 此值的 SKU 视为新品，完全使用基准占比</w:t>
            </w:r>
          </w:p>
        </w:tc>
      </w:tr>
      <w:tr>
        <w:tc>
          <w:tcPr>
            <w:tcW w:type="dxa" w:w="2835"/>
          </w:tcPr>
          <w:p>
            <w:r>
              <w:t>新品订单量门槛</w:t>
            </w:r>
          </w:p>
        </w:tc>
        <w:tc>
          <w:tcPr>
            <w:tcW w:type="dxa" w:w="1134"/>
          </w:tcPr>
          <w:p>
            <w:r>
              <w:t>20</w:t>
            </w:r>
          </w:p>
        </w:tc>
        <w:tc>
          <w:tcPr>
            <w:tcW w:type="dxa" w:w="5669"/>
          </w:tcPr>
          <w:p>
            <w:r>
              <w:t>目标期总单量 &lt; 此值也视为新品，避免低单量SKU分仓偶然性</w:t>
            </w:r>
          </w:p>
        </w:tc>
      </w:tr>
      <w:tr>
        <w:tc>
          <w:tcPr>
            <w:tcW w:type="dxa" w:w="2835"/>
          </w:tcPr>
          <w:p>
            <w:r>
              <w:t>收缩强度 k</w:t>
            </w:r>
          </w:p>
        </w:tc>
        <w:tc>
          <w:tcPr>
            <w:tcW w:type="dxa" w:w="1134"/>
          </w:tcPr>
          <w:p>
            <w:r>
              <w:t>8</w:t>
            </w:r>
          </w:p>
        </w:tc>
        <w:tc>
          <w:tcPr>
            <w:tcW w:type="dxa" w:w="5669"/>
          </w:tcPr>
          <w:p>
            <w:r>
              <w:t>自身权重 = n / (n + k)，n = 目标期月数。k越大越信任基准</w:t>
            </w:r>
          </w:p>
        </w:tc>
      </w:tr>
      <w:tr>
        <w:tc>
          <w:tcPr>
            <w:tcW w:type="dxa" w:w="2835"/>
          </w:tcPr>
          <w:p>
            <w:r>
              <w:t>权重下限</w:t>
            </w:r>
          </w:p>
        </w:tc>
        <w:tc>
          <w:tcPr>
            <w:tcW w:type="dxa" w:w="1134"/>
          </w:tcPr>
          <w:p>
            <w:r>
              <w:t>0.0</w:t>
            </w:r>
          </w:p>
        </w:tc>
        <w:tc>
          <w:tcPr>
            <w:tcW w:type="dxa" w:w="5669"/>
          </w:tcPr>
          <w:p>
            <w:r>
              <w:t>自身数据的最低权重。0=新品完全用基准</w:t>
            </w:r>
          </w:p>
        </w:tc>
      </w:tr>
      <w:tr>
        <w:tc>
          <w:tcPr>
            <w:tcW w:type="dxa" w:w="2835"/>
          </w:tcPr>
          <w:p>
            <w:r>
              <w:t>权重上限</w:t>
            </w:r>
          </w:p>
        </w:tc>
        <w:tc>
          <w:tcPr>
            <w:tcW w:type="dxa" w:w="1134"/>
          </w:tcPr>
          <w:p>
            <w:r>
              <w:t>0.9</w:t>
            </w:r>
          </w:p>
        </w:tc>
        <w:tc>
          <w:tcPr>
            <w:tcW w:type="dxa" w:w="5669"/>
          </w:tcPr>
          <w:p>
            <w:r>
              <w:t>自身数据的最高权重。0.9=最多90%用自身</w:t>
            </w:r>
          </w:p>
        </w:tc>
      </w:tr>
      <w:tr>
        <w:tc>
          <w:tcPr>
            <w:tcW w:type="dxa" w:w="2835"/>
          </w:tcPr>
          <w:p>
            <w:r>
              <w:t>品类层最小等效观测数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5669"/>
          </w:tcPr>
          <w:p>
            <w:r>
              <w:t>基准贝叶斯收缩参数。n=12时子层父层各50%</w:t>
            </w:r>
          </w:p>
        </w:tc>
      </w:tr>
    </w:tbl>
    <w:p/>
    <w:p>
      <w:r>
        <w:t>新品判定逻辑：历史月数 ≤ 阈值 或 目标期总单量 &lt; 门槛 → 视为新品，自身权重=0，完全使用基准占比。门槛默认20单，避免低单量SKU分仓偶然性。</w:t>
      </w:r>
    </w:p>
    <w:p>
      <w:pPr>
        <w:pStyle w:val="Heading1"/>
      </w:pPr>
      <w:r>
        <w:t>4. 主区域操作指南</w:t>
      </w:r>
    </w:p>
    <w:p>
      <w:pPr>
        <w:pStyle w:val="Heading2"/>
      </w:pPr>
      <w:r>
        <w:t>4.1 上传数据</w:t>
      </w:r>
    </w:p>
    <w:p>
      <w:r>
        <w:t>点击「上传原始出单数据」或使用示例数据。必需列：源SKU、SPU、室内外、一级分类、年、月、美西、美东、美南GA、美南TX。</w:t>
      </w:r>
    </w:p>
    <w:p>
      <w:r>
        <w:t>数据格式示例：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907"/>
          </w:tcPr>
          <w:p>
            <w:r>
              <w:rPr>
                <w:b/>
              </w:rPr>
              <w:t>源SKU</w:t>
            </w:r>
          </w:p>
        </w:tc>
        <w:tc>
          <w:tcPr>
            <w:tcW w:type="dxa" w:w="907"/>
          </w:tcPr>
          <w:p>
            <w:r>
              <w:rPr>
                <w:b/>
              </w:rPr>
              <w:t>SPU</w:t>
            </w:r>
          </w:p>
        </w:tc>
        <w:tc>
          <w:tcPr>
            <w:tcW w:type="dxa" w:w="907"/>
          </w:tcPr>
          <w:p>
            <w:r>
              <w:rPr>
                <w:b/>
              </w:rPr>
              <w:t>室内外</w:t>
            </w:r>
          </w:p>
        </w:tc>
        <w:tc>
          <w:tcPr>
            <w:tcW w:type="dxa" w:w="907"/>
          </w:tcPr>
          <w:p>
            <w:r>
              <w:rPr>
                <w:b/>
              </w:rPr>
              <w:t>一级分类</w:t>
            </w:r>
          </w:p>
        </w:tc>
        <w:tc>
          <w:tcPr>
            <w:tcW w:type="dxa" w:w="907"/>
          </w:tcPr>
          <w:p>
            <w:r>
              <w:rPr>
                <w:b/>
              </w:rPr>
              <w:t>年</w:t>
            </w:r>
          </w:p>
        </w:tc>
        <w:tc>
          <w:tcPr>
            <w:tcW w:type="dxa" w:w="907"/>
          </w:tcPr>
          <w:p>
            <w:r>
              <w:rPr>
                <w:b/>
              </w:rPr>
              <w:t>月</w:t>
            </w:r>
          </w:p>
        </w:tc>
        <w:tc>
          <w:tcPr>
            <w:tcW w:type="dxa" w:w="907"/>
          </w:tcPr>
          <w:p>
            <w:r>
              <w:rPr>
                <w:b/>
              </w:rPr>
              <w:t>美西</w:t>
            </w:r>
          </w:p>
        </w:tc>
        <w:tc>
          <w:tcPr>
            <w:tcW w:type="dxa" w:w="907"/>
          </w:tcPr>
          <w:p>
            <w:r>
              <w:rPr>
                <w:b/>
              </w:rPr>
              <w:t>美东</w:t>
            </w:r>
          </w:p>
        </w:tc>
        <w:tc>
          <w:tcPr>
            <w:tcW w:type="dxa" w:w="907"/>
          </w:tcPr>
          <w:p>
            <w:r>
              <w:rPr>
                <w:b/>
              </w:rPr>
              <w:t>美南GA</w:t>
            </w:r>
          </w:p>
        </w:tc>
        <w:tc>
          <w:tcPr>
            <w:tcW w:type="dxa" w:w="907"/>
          </w:tcPr>
          <w:p>
            <w:r>
              <w:rPr>
                <w:b/>
              </w:rPr>
              <w:t>美南TX</w:t>
            </w:r>
          </w:p>
        </w:tc>
      </w:tr>
      <w:tr>
        <w:tc>
          <w:tcPr>
            <w:tcW w:type="dxa" w:w="907"/>
          </w:tcPr>
          <w:p>
            <w:r>
              <w:t>NBGF050BROOS-V4</w:t>
            </w:r>
          </w:p>
        </w:tc>
        <w:tc>
          <w:tcPr>
            <w:tcW w:type="dxa" w:w="907"/>
          </w:tcPr>
          <w:p>
            <w:r>
              <w:t>NBGF050BROOS</w:t>
            </w:r>
          </w:p>
        </w:tc>
        <w:tc>
          <w:tcPr>
            <w:tcW w:type="dxa" w:w="907"/>
          </w:tcPr>
          <w:p>
            <w:r>
              <w:t>室内</w:t>
            </w:r>
          </w:p>
        </w:tc>
        <w:tc>
          <w:tcPr>
            <w:tcW w:type="dxa" w:w="907"/>
          </w:tcPr>
          <w:p>
            <w:r>
              <w:t>庭院</w:t>
            </w:r>
          </w:p>
        </w:tc>
        <w:tc>
          <w:tcPr>
            <w:tcW w:type="dxa" w:w="907"/>
          </w:tcPr>
          <w:p>
            <w:r>
              <w:t>2026</w:t>
            </w:r>
          </w:p>
        </w:tc>
        <w:tc>
          <w:tcPr>
            <w:tcW w:type="dxa" w:w="907"/>
          </w:tcPr>
          <w:p>
            <w:r>
              <w:t>5</w:t>
            </w:r>
          </w:p>
        </w:tc>
        <w:tc>
          <w:tcPr>
            <w:tcW w:type="dxa" w:w="907"/>
          </w:tcPr>
          <w:p>
            <w:r>
              <w:t>12</w:t>
            </w:r>
          </w:p>
        </w:tc>
        <w:tc>
          <w:tcPr>
            <w:tcW w:type="dxa" w:w="907"/>
          </w:tcPr>
          <w:p>
            <w:r>
              <w:t>8</w:t>
            </w:r>
          </w:p>
        </w:tc>
        <w:tc>
          <w:tcPr>
            <w:tcW w:type="dxa" w:w="907"/>
          </w:tcPr>
          <w:p>
            <w:r>
              <w:t>3</w:t>
            </w:r>
          </w:p>
        </w:tc>
        <w:tc>
          <w:tcPr>
            <w:tcW w:type="dxa" w:w="907"/>
          </w:tcPr>
          <w:p>
            <w:r>
              <w:t>2</w:t>
            </w:r>
          </w:p>
        </w:tc>
      </w:tr>
    </w:tbl>
    <w:p/>
    <w:p>
      <w:r>
        <w:t>上传后可展开「数据体检 + 预览」查看总行数、SKU数、品类数、时间跨度。</w:t>
      </w:r>
    </w:p>
    <w:p>
      <w:pPr>
        <w:pStyle w:val="Heading2"/>
      </w:pPr>
      <w:r>
        <w:t>4.2 开始计算</w:t>
      </w:r>
    </w:p>
    <w:p>
      <w:r>
        <w:t>在主页面蓝色边框容器内设置：</w:t>
      </w:r>
    </w:p>
    <w:p>
      <w:pPr>
        <w:pStyle w:val="ListBullet"/>
      </w:pPr>
      <w:r>
        <w:t>季节适用品类：多选框，默认勾选庭院类品类。勾选的品类只用目标期同月数据；未勾选的品类放开全部月份加权</w:t>
      </w:r>
    </w:p>
    <w:p>
      <w:pPr>
        <w:pStyle w:val="ListBullet"/>
      </w:pPr>
      <w:r>
        <w:t>SKU级集中度自动检测：两个滑块（整数范围，高阈值50-100%默认70%，低阈值0-50%默认20%）。系统自动算每个SKU在目标期同月的出单量占全年的比例。集中度≥高阈值→自动强季节（即使品类未勾选），≤低阈值→自动弱季节（即使品类已勾选），中间→跟随品类勾选</w:t>
      </w:r>
    </w:p>
    <w:p>
      <w:pPr>
        <w:pStyle w:val="ListBullet"/>
      </w:pPr>
      <w:r>
        <w:t>减仓优化：勾选开关，月均单量上限和占比上限可自定义，启用后符合条件自动减仓</w:t>
      </w:r>
    </w:p>
    <w:p>
      <w:pPr>
        <w:pStyle w:val="ListBullet"/>
      </w:pPr>
      <w:r>
        <w:t>点击「开始计算」按钮，系统分5步逐步显示计算进度</w:t>
      </w:r>
    </w:p>
    <w:p>
      <w:pPr>
        <w:pStyle w:val="Heading2"/>
      </w:pPr>
      <w:r>
        <w:t>4.3 计算结果</w:t>
      </w:r>
    </w:p>
    <w:p>
      <w:r>
        <w:t>计算完成后展示：</w:t>
      </w:r>
    </w:p>
    <w:p>
      <w:pPr>
        <w:pStyle w:val="ListBullet"/>
      </w:pPr>
      <w:r>
        <w:t>自动体检：四仓占比合计=100%、季节性判定生效（含自动检测统计）、趋势因子生效数（含动态α）</w:t>
      </w:r>
    </w:p>
    <w:p>
      <w:pPr>
        <w:pStyle w:val="ListBullet"/>
      </w:pPr>
      <w:r>
        <w:t>KPI卡片：美西、美东、美南GA、美南TX 四仓加权平均占比（按各SKU目标期出单量加权，含与基准的差值）</w:t>
      </w:r>
    </w:p>
    <w:p>
      <w:pPr>
        <w:pStyle w:val="ListBullet"/>
      </w:pPr>
      <w:r>
        <w:t>SKU级表格：6个分页Tab（调整后/最终/自身/基准/趋势差/计算路径），基础列含季节集中度和季节性来源；计算路径Tab可查看单个SKU的基本信息、计算参数和四仓占比明细</w:t>
      </w:r>
    </w:p>
    <w:p>
      <w:pPr>
        <w:pStyle w:val="ListBullet"/>
      </w:pPr>
      <w:r>
        <w:t>聚合层级：一级分类、室内外、SPU、全公司四个 Tab，展示各层级的分仓占比（按单量加权平均）</w:t>
      </w:r>
    </w:p>
    <w:p>
      <w:pPr>
        <w:pStyle w:val="Heading2"/>
      </w:pPr>
      <w:r>
        <w:t>4.4 占比微调</w:t>
      </w:r>
    </w:p>
    <w:p>
      <w:r>
        <w:t>默认折叠，点击展开。支持两种微调模式：</w:t>
      </w:r>
    </w:p>
    <w:p>
      <w:pPr>
        <w:pStyle w:val="ListBullet"/>
      </w:pPr>
      <w:r>
        <w:t>单个SKU微调：选择要微调的 SKU，拖动四个滑块调整占比（显示为整数百分比），实时显示四仓合计是否=100%，点击「自动补足到 100%」以改动最大的仓为准其余三仓按原比例补足，点击「🔄 恢复引擎值」一键回到系统计算结果，输入发运批量按修正后的占比生成落货量（最大余额法），可下载该 SKU 的调整结果 CSV</w:t>
      </w:r>
    </w:p>
    <w:p>
      <w:pPr>
        <w:pStyle w:val="ListBullet"/>
      </w:pPr>
      <w:r>
        <w:t>批量微调：选择品类/SPU/室内外维度，支持「整体偏移」（四仓各设增减百分点，合计需为0）或「直接设定占比」（四仓合计需为100%），一键应用到该组所有 SKU，可清除批量调整</w:t>
      </w:r>
    </w:p>
    <w:p>
      <w:pPr>
        <w:pStyle w:val="Heading2"/>
      </w:pPr>
      <w:r>
        <w:t>4.5 可视化</w:t>
      </w:r>
    </w:p>
    <w:p>
      <w:pPr>
        <w:pStyle w:val="ListBullet"/>
      </w:pPr>
      <w:r>
        <w:t>饼图：展示单个 SKU 的四仓占比，含标签和百分比</w:t>
      </w:r>
    </w:p>
    <w:p>
      <w:pPr>
        <w:pStyle w:val="ListBullet"/>
      </w:pPr>
      <w:r>
        <w:t>堆叠图：支持按 SKU 名搜索，页码下拉框翻页浏览全部SKU，合计恒为 100%</w:t>
      </w:r>
    </w:p>
    <w:p>
      <w:pPr>
        <w:pStyle w:val="ListBullet"/>
      </w:pPr>
      <w:r>
        <w:t>聚合堆叠图：一级分类和室内外层级也展示堆叠柱状图</w:t>
      </w:r>
    </w:p>
    <w:p>
      <w:pPr>
        <w:pStyle w:val="Heading2"/>
      </w:pPr>
      <w:r>
        <w:t>4.6 导出结果</w:t>
      </w:r>
    </w:p>
    <w:p>
      <w:pPr>
        <w:pStyle w:val="ListBullet"/>
      </w:pPr>
      <w:r>
        <w:t>Excel（含聚合）：SKU级占比 + 一级分类/室内外/SPU/全公司聚合</w:t>
      </w:r>
    </w:p>
    <w:p>
      <w:pPr>
        <w:pStyle w:val="ListBullet"/>
      </w:pPr>
      <w:r>
        <w:t>CSV（SKU级）：仅 SKU 级占比数据</w:t>
      </w:r>
    </w:p>
    <w:p>
      <w:pPr>
        <w:pStyle w:val="ListBullet"/>
      </w:pPr>
      <w:r>
        <w:t>CSV（全层级聚合）：一级分类+室内外+SPU+全公司，按层级列区分</w:t>
      </w:r>
    </w:p>
    <w:p>
      <w:pPr>
        <w:pStyle w:val="ListBullet"/>
      </w:pPr>
      <w:r>
        <w:t>CSV（一级分类）：仅一级分类聚合占比</w:t>
      </w:r>
    </w:p>
    <w:p>
      <w:pPr>
        <w:pStyle w:val="Heading1"/>
      </w:pPr>
      <w:r>
        <w:t>5. 计算逻辑说明</w:t>
      </w:r>
    </w:p>
    <w:p>
      <w:r>
        <w:t>计算链路共5步，点击「开始计算」后逐步显示进度：</w:t>
      </w:r>
    </w:p>
    <w:p>
      <w:pPr>
        <w:pStyle w:val="Heading2"/>
      </w:pPr>
      <w:r>
        <w:t>步骤1：运算SKU映射</w:t>
      </w:r>
    </w:p>
    <w:p>
      <w:r>
        <w:t>混用SKU映射表把源SKU合并到相似SKU；未映射的取「-」前部分作为运算SKU。</w:t>
      </w:r>
    </w:p>
    <w:p>
      <w:pPr>
        <w:pStyle w:val="Heading2"/>
      </w:pPr>
      <w:r>
        <w:t>步骤2：时间衰减加权</w:t>
      </w:r>
    </w:p>
    <w:p>
      <w:r>
        <w:t>时间衰减 × 月份相似度。同月数据用 λ_same（0.95）跨年衰减。非同月数据用 λ（0.85）衰减，再乘月份相似度权重（同月1.0/相邻月0.6/隔2月0.3/隔3月以上0.1），让目标月附近的非同月数据也有参考价值。</w:t>
      </w:r>
    </w:p>
    <w:p>
      <w:pPr>
        <w:pStyle w:val="Heading2"/>
      </w:pPr>
      <w:r>
        <w:t>步骤3：自身占比（含季节品类分支 + SKU级集中度自动检测）</w:t>
      </w:r>
    </w:p>
    <w:p>
      <w:r>
        <w:t>加权后的各仓出单量 ÷ 加权合计，逐仓计算。</w:t>
      </w:r>
    </w:p>
    <w:p>
      <w:r>
        <w:t>系统先算每个SKU的"集中度"=目标期同月出单量÷全年总出单量，再决定走哪个分支：</w:t>
      </w:r>
    </w:p>
    <w:p>
      <w:pPr>
        <w:pStyle w:val="ListBullet"/>
      </w:pPr>
      <w:r>
        <w:t>集中度≥70% → 自动强季节（即使品类未勾选）：只用目标期同月数据</w:t>
      </w:r>
    </w:p>
    <w:p>
      <w:pPr>
        <w:pStyle w:val="ListBullet"/>
      </w:pPr>
      <w:r>
        <w:t>集中度≤20% → 自动弱季节（即使品类已勾选）：用全部月份加权</w:t>
      </w:r>
    </w:p>
    <w:p>
      <w:pPr>
        <w:pStyle w:val="ListBullet"/>
      </w:pPr>
      <w:r>
        <w:t>中间（20%-70%）→ 跟随品类勾选：勾选的品类用同月数据，未勾选的用全部月份</w:t>
      </w:r>
    </w:p>
    <w:p>
      <w:r>
        <w:t>这样即使同一个SPU下的SKU季节pattern不同（比如小尺寸冬天好卖、大尺寸夏天好卖），每个SKU也能各自独立判断，不会被品类设置一刀切。</w:t>
      </w:r>
    </w:p>
    <w:p>
      <w:pPr>
        <w:pStyle w:val="Heading2"/>
      </w:pPr>
      <w:r>
        <w:t>步骤4：基准占比</w:t>
      </w:r>
    </w:p>
    <w:p>
      <w:r>
        <w:t>层级回退 + 贝叶斯收缩：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r>
              <w:rPr>
                <w:b/>
              </w:rPr>
              <w:t>优先级</w:t>
            </w:r>
          </w:p>
        </w:tc>
        <w:tc>
          <w:tcPr>
            <w:tcW w:type="dxa" w:w="1134"/>
          </w:tcPr>
          <w:p>
            <w:r>
              <w:rPr>
                <w:b/>
              </w:rPr>
              <w:t>基准来源</w:t>
            </w:r>
          </w:p>
        </w:tc>
        <w:tc>
          <w:tcPr>
            <w:tcW w:type="dxa" w:w="566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35"/>
          </w:tcPr>
          <w:p>
            <w:r>
              <w:t>1</w:t>
            </w:r>
          </w:p>
        </w:tc>
        <w:tc>
          <w:tcPr>
            <w:tcW w:type="dxa" w:w="1134"/>
          </w:tcPr>
          <w:p>
            <w:r>
              <w:t>SPU（预存）</w:t>
            </w:r>
          </w:p>
        </w:tc>
        <w:tc>
          <w:tcPr>
            <w:tcW w:type="dxa" w:w="5669"/>
          </w:tcPr>
          <w:p>
            <w:r>
              <w:t>sheet4中预存的SPU基准，有观测数时使用</w:t>
            </w:r>
          </w:p>
        </w:tc>
      </w:tr>
      <w:tr>
        <w:tc>
          <w:tcPr>
            <w:tcW w:type="dxa" w:w="2835"/>
          </w:tcPr>
          <w:p>
            <w:r>
              <w:t>2</w:t>
            </w:r>
          </w:p>
        </w:tc>
        <w:tc>
          <w:tcPr>
            <w:tcW w:type="dxa" w:w="1134"/>
          </w:tcPr>
          <w:p>
            <w:r>
              <w:t>SPU（动态）</w:t>
            </w:r>
          </w:p>
        </w:tc>
        <w:tc>
          <w:tcPr>
            <w:tcW w:type="dxa" w:w="5669"/>
          </w:tcPr>
          <w:p>
            <w:r>
              <w:t>贝叶斯收缩，父层=所属一级分类</w:t>
            </w:r>
          </w:p>
        </w:tc>
      </w:tr>
      <w:tr>
        <w:tc>
          <w:tcPr>
            <w:tcW w:type="dxa" w:w="2835"/>
          </w:tcPr>
          <w:p>
            <w:r>
              <w:t>3</w:t>
            </w:r>
          </w:p>
        </w:tc>
        <w:tc>
          <w:tcPr>
            <w:tcW w:type="dxa" w:w="1134"/>
          </w:tcPr>
          <w:p>
            <w:r>
              <w:t>一级分类（预存）</w:t>
            </w:r>
          </w:p>
        </w:tc>
        <w:tc>
          <w:tcPr>
            <w:tcW w:type="dxa" w:w="5669"/>
          </w:tcPr>
          <w:p>
            <w:r>
              <w:t>预存的一级分类基准</w:t>
            </w:r>
          </w:p>
        </w:tc>
      </w:tr>
      <w:tr>
        <w:tc>
          <w:tcPr>
            <w:tcW w:type="dxa" w:w="2835"/>
          </w:tcPr>
          <w:p>
            <w:r>
              <w:t>4</w:t>
            </w:r>
          </w:p>
        </w:tc>
        <w:tc>
          <w:tcPr>
            <w:tcW w:type="dxa" w:w="1134"/>
          </w:tcPr>
          <w:p>
            <w:r>
              <w:t>一级分类（动态）</w:t>
            </w:r>
          </w:p>
        </w:tc>
        <w:tc>
          <w:tcPr>
            <w:tcW w:type="dxa" w:w="5669"/>
          </w:tcPr>
          <w:p>
            <w:r>
              <w:t>贝叶斯收缩，父层=全公司</w:t>
            </w:r>
          </w:p>
        </w:tc>
      </w:tr>
      <w:tr>
        <w:tc>
          <w:tcPr>
            <w:tcW w:type="dxa" w:w="2835"/>
          </w:tcPr>
          <w:p>
            <w:r>
              <w:t>5</w:t>
            </w:r>
          </w:p>
        </w:tc>
        <w:tc>
          <w:tcPr>
            <w:tcW w:type="dxa" w:w="1134"/>
          </w:tcPr>
          <w:p>
            <w:r>
              <w:t>室内外（预存）</w:t>
            </w:r>
          </w:p>
        </w:tc>
        <w:tc>
          <w:tcPr>
            <w:tcW w:type="dxa" w:w="5669"/>
          </w:tcPr>
          <w:p>
            <w:r>
              <w:t>预存的室内外基准</w:t>
            </w:r>
          </w:p>
        </w:tc>
      </w:tr>
      <w:tr>
        <w:tc>
          <w:tcPr>
            <w:tcW w:type="dxa" w:w="2835"/>
          </w:tcPr>
          <w:p>
            <w:r>
              <w:t>6</w:t>
            </w:r>
          </w:p>
        </w:tc>
        <w:tc>
          <w:tcPr>
            <w:tcW w:type="dxa" w:w="1134"/>
          </w:tcPr>
          <w:p>
            <w:r>
              <w:t>室内外（动态）</w:t>
            </w:r>
          </w:p>
        </w:tc>
        <w:tc>
          <w:tcPr>
            <w:tcW w:type="dxa" w:w="5669"/>
          </w:tcPr>
          <w:p>
            <w:r>
              <w:t>贝叶斯收缩，父层=全公司</w:t>
            </w:r>
          </w:p>
        </w:tc>
      </w:tr>
      <w:tr>
        <w:tc>
          <w:tcPr>
            <w:tcW w:type="dxa" w:w="2835"/>
          </w:tcPr>
          <w:p>
            <w:r>
              <w:t>7</w:t>
            </w:r>
          </w:p>
        </w:tc>
        <w:tc>
          <w:tcPr>
            <w:tcW w:type="dxa" w:w="1134"/>
          </w:tcPr>
          <w:p>
            <w:r>
              <w:t>全公司</w:t>
            </w:r>
          </w:p>
        </w:tc>
        <w:tc>
          <w:tcPr>
            <w:tcW w:type="dxa" w:w="5669"/>
          </w:tcPr>
          <w:p>
            <w:r>
              <w:t>整体占比兜底</w:t>
            </w:r>
          </w:p>
        </w:tc>
      </w:tr>
    </w:tbl>
    <w:p/>
    <w:p>
      <w:r>
        <w:t>贝叶斯收缩公式：子层权重 = n / (n + k_cat)，父层权重 = k_cat / (n + k_cat)。k_cat=12时，n=12则子层父层各50%。</w:t>
      </w:r>
    </w:p>
    <w:p>
      <w:pPr>
        <w:pStyle w:val="Heading2"/>
      </w:pPr>
      <w:r>
        <w:t>步骤5：最终占比 + 落货量 + 减仓优化</w:t>
      </w:r>
    </w:p>
    <w:p>
      <w:r>
        <w:t>最终占比 = 自身权重 × 自身占比 + (1-自身权重) × 基准占比，再叠加趋势调整，最后归一化到 100%。</w:t>
      </w:r>
    </w:p>
    <w:p>
      <w:r>
        <w:t>新品（历史月数≤2 或 目标期原始单量&lt;20）自身权重=0，完全使用基准。</w:t>
      </w:r>
    </w:p>
    <w:p>
      <w:r>
        <w:t>趋势调整用原始单量占比，比较去年同期 vs 前年同期的占比差。单量门槛+动态α：去年+前年同期总单量≥100用原始α，50-100单用α/2，&lt;50单或任一侧为0单跳过趋势调整。</w:t>
      </w:r>
    </w:p>
    <w:p>
      <w:r>
        <w:t>落货量 = 占比 × 批量，最大余额法保证整数合计精确等于批量。</w:t>
      </w:r>
    </w:p>
    <w:p>
      <w:r>
        <w:t>减仓优化（可选）：启用后，对运算SKU × 仓点判断月均单量和占比是否低于自定义阈值，符合条件则减仓，占比等比分配到其他仓。仅影响SKU层，上层聚合使用减仓前原始数据。</w:t>
      </w:r>
    </w:p>
    <w:p>
      <w:pPr>
        <w:pStyle w:val="Heading1"/>
      </w:pPr>
      <w:r>
        <w:t>6. 常见问题</w:t>
      </w:r>
    </w:p>
    <w:p>
      <w:pPr>
        <w:pStyle w:val="Heading2"/>
      </w:pPr>
      <w:r>
        <w:t>Q1：目标期设定为5月，趋势因子参考哪些时间？</w:t>
      </w:r>
    </w:p>
    <w:p>
      <w:r>
        <w:t>趋势因子比较去年同期（2026年5月）与前年同期（2025年5月）的原始单量占比差。多月目标期（如4-6月）则参考4-6月。</w:t>
      </w:r>
    </w:p>
    <w:p>
      <w:pPr>
        <w:pStyle w:val="Heading2"/>
      </w:pPr>
      <w:r>
        <w:t>Q2：强季节和弱季节品类怎么区分？</w:t>
      </w:r>
    </w:p>
    <w:p>
      <w:r>
        <w:t>三步判断：①先算SKU集中度（目标期同月出单量÷全年总量）→②集中度≥高阈值（默认70%）自动强季节，≤低阈值（默认20%）自动弱季节→③集中度在中间的跟随品类勾选。强季节只用目标期同月数据，弱季节用全部月份加权。阈值可在"开始计算"区域滑块调节。</w:t>
      </w:r>
    </w:p>
    <w:p>
      <w:pPr>
        <w:pStyle w:val="Heading2"/>
      </w:pPr>
      <w:r>
        <w:t>Q3：同月跨年衰减率 λ_same 和非同月衰减率 λ 有什么区别？</w:t>
      </w:r>
    </w:p>
    <w:p>
      <w:r>
        <w:t>λ_same（0.95）用于同月数据跨年衰减，去年同月保留95%，前年同月保留90%。λ（0.85）用于弱季节品类的非同月数据衰减，1个月前85%，6个月前38%。同月数据参考价值更高，所以衰减更慢。</w:t>
      </w:r>
    </w:p>
    <w:p>
      <w:pPr>
        <w:pStyle w:val="Heading2"/>
      </w:pPr>
      <w:r>
        <w:t>Q4：新品怎么判定？</w:t>
      </w:r>
    </w:p>
    <w:p>
      <w:r>
        <w:t>历史出单月数 ≤ 2 或 目标期总单量 &lt; 10，满足任一即视为新品。新品自身权重=0，完全使用基准占比（从 SPU 到全公司逐级回退）。</w:t>
      </w:r>
    </w:p>
    <w:p>
      <w:pPr>
        <w:pStyle w:val="Heading2"/>
      </w:pPr>
      <w:r>
        <w:t>Q5：减仓优化影响上层聚合吗？</w:t>
      </w:r>
    </w:p>
    <w:p>
      <w:r>
        <w:t>不影响。减仓仅修改 SKU 层的「调整后」列，一级分类/室内外/SPU/全公司的聚合使用减仓前的原始数据。</w:t>
      </w:r>
    </w:p>
    <w:p>
      <w:pPr>
        <w:pStyle w:val="Heading2"/>
      </w:pPr>
      <w:r>
        <w:t>Q6：四仓占比一定等于100%吗？</w:t>
      </w:r>
    </w:p>
    <w:p>
      <w:r>
        <w:t>是的。引擎计算后自动归一化，趋势调整后再次归一化，微调时自动补足，自检验证偏差 &lt; 1e-9。</w:t>
      </w:r>
    </w:p>
    <w:p>
      <w:pPr>
        <w:pStyle w:val="Heading2"/>
      </w:pPr>
      <w:r>
        <w:t>Q7：趋势因子用什么数据计算？低单量SKU会怎样？</w:t>
      </w:r>
    </w:p>
    <w:p>
      <w:r>
        <w:t>趋势因子用原始单量占比（不加衰减权重），比较去年同期 vs 前年同期的分仓占比差。动态α：≥100单用原始α，50-100单用α/2，&lt;50单跳过趋势调整。与时间衰减加权作用层不同，互不干扰。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8"/>
      </w:rPr>
      <w:t xml:space="preserve">第 </w:t>
    </w:r>
    <w:r>
      <w:rPr>
        <w:color w:val="999999"/>
        <w:sz w:val="18"/>
      </w:rPr>
      <w:fldChar w:fldCharType="begin"/>
      <w:instrText xml:space="preserve">PAGE</w:instrText>
      <w:fldChar w:fldCharType="end"/>
    </w:r>
    <w:r>
      <w:rPr>
        <w:color w:val="999999"/>
        <w:sz w:val="18"/>
      </w:rPr>
      <w:t xml:space="preserve"> 页 / 共 </w:t>
    </w:r>
    <w:r>
      <w:rPr>
        <w:color w:val="999999"/>
        <w:sz w:val="18"/>
      </w:rPr>
      <w:fldChar w:fldCharType="begin"/>
      <w:instrText xml:space="preserve">NUMPAGES</w:instrText>
      <w:fldChar w:fldCharType="end"/>
    </w:r>
    <w:r>
      <w:rPr>
        <w:color w:val="999999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999999"/>
        <w:sz w:val="18"/>
      </w:rPr>
      <w:t>分仓占比计算引擎 — 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