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分为五个参数分组，从上到下依次为：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α、单仓调整上限、归一化方式（默认折叠）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开始计算：蓝色边框容器内含季节适用品类多选、减仓优化开关、计算按钮</w:t>
      </w:r>
    </w:p>
    <w:p>
      <w:pPr>
        <w:pStyle w:val="ListBullet"/>
      </w:pPr>
      <w:r>
        <w:t>3. 计算结果：自动体检、KPI卡片（四仓平均占比）、SKU级表格（分页Tab）、聚合层级占比</w:t>
      </w:r>
    </w:p>
    <w:p>
      <w:pPr>
        <w:pStyle w:val="ListBullet"/>
      </w:pPr>
      <w:r>
        <w:t>4. 占比微调：滑块调整四仓占比，自动补足到 100%，生成落货量</w:t>
      </w:r>
    </w:p>
    <w:p>
      <w:pPr>
        <w:pStyle w:val="ListBullet"/>
      </w:pPr>
      <w:r>
        <w:t>5. 可视化：饼图、可搜索堆叠图</w:t>
      </w:r>
    </w:p>
    <w:p>
      <w:pPr>
        <w:pStyle w:val="ListBullet"/>
      </w:pPr>
      <w:r>
        <w:t>6. 导出结果：Excel（含聚合）、CSV（SKU级）、CSV（一级分类）</w:t>
      </w:r>
    </w:p>
    <w:p>
      <w:pPr>
        <w:pStyle w:val="ListBullet"/>
      </w:pPr>
      <w:r>
        <w:t>右上角：下载说明按钮（Markdown 版本）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30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  <w:tr>
        <w:tc>
          <w:tcPr>
            <w:tcW w:type="dxa" w:w="2835"/>
          </w:tcPr>
          <w:p>
            <w:r>
              <w:t>归一化方式</w:t>
            </w:r>
          </w:p>
        </w:tc>
        <w:tc>
          <w:tcPr>
            <w:tcW w:type="dxa" w:w="1134"/>
          </w:tcPr>
          <w:p>
            <w:r>
              <w:t>归一化</w:t>
            </w:r>
          </w:p>
        </w:tc>
        <w:tc>
          <w:tcPr>
            <w:tcW w:type="dxa" w:w="5669"/>
          </w:tcPr>
          <w:p>
            <w:r>
              <w:t>调整后四仓占比缩放到合计 100%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0.9</w:t>
            </w:r>
          </w:p>
        </w:tc>
        <w:tc>
          <w:tcPr>
            <w:tcW w:type="dxa" w:w="5669"/>
          </w:tcPr>
          <w:p>
            <w:r>
              <w:t>自身数据的最高权重。0.9=最多90%用自身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自动体检：四仓占比合计=100%、季节品类分支生效、趋势因子生效数（含动态α）</w:t>
      </w:r>
    </w:p>
    <w:p>
      <w:pPr>
        <w:pStyle w:val="ListBullet"/>
      </w:pPr>
      <w:r>
        <w:t>KPI卡片：美西、美东、美南GA、美南TX 四仓平均占比（含与基准的差值）</w:t>
      </w:r>
    </w:p>
    <w:p>
      <w:pPr>
        <w:pStyle w:val="ListBullet"/>
      </w:pPr>
      <w:r>
        <w:t>SKU级表格：5个分页Tab（调整后/最终/自身/基准/趋势差），每个Tab只显示4仓+基础列</w:t>
      </w:r>
    </w:p>
    <w:p>
      <w:pPr>
        <w:pStyle w:val="ListBullet"/>
      </w:pPr>
      <w:r>
        <w:t>聚合层级：一级分类、室内外、SPU、全公司四个 Tab，展示各层级的分仓占比</w:t>
      </w:r>
    </w:p>
    <w:p>
      <w:pPr>
        <w:pStyle w:val="Heading2"/>
      </w:pPr>
      <w:r>
        <w:t>4.4 占比微调</w:t>
      </w:r>
    </w:p>
    <w:p>
      <w:r>
        <w:t>对某个 SKU 的分仓占比有业务判断时，可在此直接修改。</w:t>
      </w:r>
    </w:p>
    <w:p>
      <w:pPr>
        <w:pStyle w:val="ListBullet"/>
      </w:pPr>
      <w:r>
        <w:t>选择要微调的 SKU，拖动四个滑块调整占比</w:t>
      </w:r>
    </w:p>
    <w:p>
      <w:pPr>
        <w:pStyle w:val="ListBullet"/>
      </w:pPr>
      <w:r>
        <w:t>实时显示四仓合计是否=100%</w:t>
      </w:r>
    </w:p>
    <w:p>
      <w:pPr>
        <w:pStyle w:val="ListBullet"/>
      </w:pPr>
      <w:r>
        <w:t>点击「自动补足到 100%」，以改动最大的仓为准，其余三仓按原比例自动补足</w:t>
      </w:r>
    </w:p>
    <w:p>
      <w:pPr>
        <w:pStyle w:val="ListBullet"/>
      </w:pPr>
      <w:r>
        <w:t>点击「🔄 恢复引擎值」可一键回到系统计算结果</w:t>
      </w:r>
    </w:p>
    <w:p>
      <w:pPr>
        <w:pStyle w:val="ListBullet"/>
      </w:pPr>
      <w:r>
        <w:t>输入发运批量，按修正后的占比生成落货量（最大余额法保证整数精确）</w:t>
      </w:r>
    </w:p>
    <w:p>
      <w:pPr>
        <w:pStyle w:val="ListBullet"/>
      </w:pPr>
      <w:r>
        <w:t>可下载该 SKU 的调整结果 CSV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名搜索，分页浏览全部SKU，合计恒为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λ（0.85）衰减，再乘月份相似度权重（同月1.0/相邻月0.6/隔2月0.3/隔3月以上0.1），让目标月附近的非同月数据也有参考价值。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步骤3：自身占比（含季节品类分支）</w:t>
      </w:r>
    </w:p>
    <w:p>
      <w:r>
        <w:t>加权后的各仓出单量 ÷ 加权合计，逐仓计算。根据品类类型走不同分支：</w:t>
      </w:r>
    </w:p>
    <w:p>
      <w:pPr>
        <w:pStyle w:val="ListBullet"/>
      </w:pPr>
      <w:r>
        <w:t>强季节品类（勾选的品类）：优先用目标期同月数据，同月无数据时回退到全部历史</w:t>
      </w:r>
    </w:p>
    <w:p>
      <w:pPr>
        <w:pStyle w:val="ListBullet"/>
      </w:pPr>
      <w:r>
        <w:t>弱季节品类（未勾选的品类）：使用全部历史数据，靠衰减权重自动降低非同月数据的权重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目标期原始单量&lt;10）自身权重=0，完全使用基准。</w:t>
      </w:r>
    </w:p>
    <w:p>
      <w:r>
        <w:t>趋势调整用原始单量占比，比较去年同期 vs 前年同期的占比差。单量门槛+动态α：去年+前年同期总单量≥100用原始α，30-100单用α/2，&lt;30单或任一侧为0单跳过趋势调整。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强季节品类 = 侧边栏「季节适用品类」多选框中勾选的品类（默认庭院类）。不在列表中的品类自动归为弱季节。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前年同期的分仓占比差。动态α：≥100单用原始α，30-100单用α/2，&lt;30单跳过趋势调整。与时间衰减加权作用层不同，互不干扰。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