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开始计算：蓝色边框容器内含季节适用品类多选、SKU级集中度自动检测、减仓优化开关、计算按钮；底部有下载说明按钮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30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0.9</w:t>
            </w:r>
          </w:p>
        </w:tc>
        <w:tc>
          <w:tcPr>
            <w:tcW w:type="dxa" w:w="5669"/>
          </w:tcPr>
          <w:p>
            <w:r>
              <w:t>自身数据的最高权重。0.9=最多90%用自身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两个滑块（整数范围，高阈值50-100%默认80%，低阈值0-50%默认20%）。系统自动算每个SKU在目标期同月的出单量占全年的比例。集中度≥高阈值→自动强季节（即使品类未勾选），≤低阈值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自动体检：四仓占比合计=100%、季节性判定生效（含自动检测统计）、趋势因子生效数（含动态α）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SKU级表格：6个分页Tab（调整后/最终/自身/基准/趋势差/计算路径），基础列含季节集中度和季节性来源；计算路径Tab可查看单个SKU的基本信息、计算参数和四仓占比明细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λ（0.85）衰减，再乘月份相似度权重（同月1.0/相邻月0.6/隔2月0.3/隔3月以上0.1），让目标月附近的非同月数据也有参考价值。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集中度≥80%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中间（20%-80%）→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目标期原始单量&lt;10）自身权重=0，完全使用基准。</w:t>
      </w:r>
    </w:p>
    <w:p>
      <w:r>
        <w:t>趋势调整用原始单量占比，比较去年同期 vs 前年同期的占比差。单量门槛+动态α：去年+前年同期总单量≥100用原始α，30-100单用α/2，&lt;30单或任一侧为0单跳过趋势调整。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三步判断：①先算SKU集中度（目标期同月出单量÷全年总量）→②集中度≥高阈值（默认80%）自动强季节，≤低阈值（默认20%）自动弱季节→③集中度在中间的跟随品类勾选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前年同期的分仓占比差。动态α：≥100单用原始α，30-100单用α/2，&lt;30单跳过趋势调整。与时间衰减加权作用层不同，互不干扰。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