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分仓占比计算引擎 - 使用说明</w:t>
      </w:r>
    </w:p>
    <w:p>
      <w:pPr>
        <w:pStyle w:val="Heading1"/>
      </w:pPr>
      <w:r>
        <w:t>计算链路（7步）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步骤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做什么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关键参数</w:t>
            </w:r>
          </w:p>
        </w:tc>
      </w:tr>
      <w:tr>
        <w:tc>
          <w:tcPr>
            <w:tcW w:type="dxa" w:w="2880"/>
          </w:tcPr>
          <w:p>
            <w:r>
              <w:t>① 运算SKU映射</w:t>
            </w:r>
          </w:p>
        </w:tc>
        <w:tc>
          <w:tcPr>
            <w:tcW w:type="dxa" w:w="2880"/>
          </w:tcPr>
          <w:p>
            <w:r>
              <w:t>混用SKU映射表把源SKU合并到相似SKU；未映射的取「-」前部分</w:t>
            </w:r>
          </w:p>
        </w:tc>
        <w:tc>
          <w:tcPr>
            <w:tcW w:type="dxa" w:w="2880"/>
          </w:tcPr>
          <w:p>
            <w:r>
              <w:t>—</w:t>
            </w:r>
          </w:p>
        </w:tc>
      </w:tr>
      <w:tr>
        <w:tc>
          <w:tcPr>
            <w:tcW w:type="dxa" w:w="2880"/>
          </w:tcPr>
          <w:p>
            <w:r>
              <w:t>② 时间衰减加权</w:t>
            </w:r>
          </w:p>
        </w:tc>
        <w:tc>
          <w:tcPr>
            <w:tcW w:type="dxa" w:w="2880"/>
          </w:tcPr>
          <w:p>
            <w:r>
              <w:t>只对目标期月份赋权，权重 = λ^(锚点−月份)</w:t>
            </w:r>
          </w:p>
        </w:tc>
        <w:tc>
          <w:tcPr>
            <w:tcW w:type="dxa" w:w="2880"/>
          </w:tcPr>
          <w:p>
            <w:r>
              <w:t>λ</w:t>
            </w:r>
          </w:p>
        </w:tc>
      </w:tr>
      <w:tr>
        <w:tc>
          <w:tcPr>
            <w:tcW w:type="dxa" w:w="2880"/>
          </w:tcPr>
          <w:p>
            <w:r>
              <w:t>③ 季节匹配因子</w:t>
            </w:r>
          </w:p>
        </w:tc>
        <w:tc>
          <w:tcPr>
            <w:tcW w:type="dxa" w:w="2880"/>
          </w:tcPr>
          <w:p>
            <w:r>
              <w:t>目标月之前 N 个月的历史数据权重 × β（环形距离，目标月本身不计入）</w:t>
            </w:r>
          </w:p>
        </w:tc>
        <w:tc>
          <w:tcPr>
            <w:tcW w:type="dxa" w:w="2880"/>
          </w:tcPr>
          <w:p>
            <w:r>
              <w:t>β、N、适用品类</w:t>
            </w:r>
          </w:p>
        </w:tc>
      </w:tr>
      <w:tr>
        <w:tc>
          <w:tcPr>
            <w:tcW w:type="dxa" w:w="2880"/>
          </w:tcPr>
          <w:p>
            <w:r>
              <w:t>④ 自身占比</w:t>
            </w:r>
          </w:p>
        </w:tc>
        <w:tc>
          <w:tcPr>
            <w:tcW w:type="dxa" w:w="2880"/>
          </w:tcPr>
          <w:p>
            <w:r>
              <w:t>加权出单量 ÷ 加权合计，逐仓计算</w:t>
            </w:r>
          </w:p>
        </w:tc>
        <w:tc>
          <w:tcPr>
            <w:tcW w:type="dxa" w:w="2880"/>
          </w:tcPr>
          <w:p>
            <w:r>
              <w:t>—</w:t>
            </w:r>
          </w:p>
        </w:tc>
      </w:tr>
      <w:tr>
        <w:tc>
          <w:tcPr>
            <w:tcW w:type="dxa" w:w="2880"/>
          </w:tcPr>
          <w:p>
            <w:r>
              <w:t>⑤ 基准占比</w:t>
            </w:r>
          </w:p>
        </w:tc>
        <w:tc>
          <w:tcPr>
            <w:tcW w:type="dxa" w:w="2880"/>
          </w:tcPr>
          <w:p>
            <w:r>
              <w:t>层级回退 SPU→一级分类→室内外→全公司，每层做贝叶斯收缩</w:t>
            </w:r>
          </w:p>
        </w:tc>
        <w:tc>
          <w:tcPr>
            <w:tcW w:type="dxa" w:w="2880"/>
          </w:tcPr>
          <w:p>
            <w:r>
              <w:t>品类层最小等效观测数</w:t>
            </w:r>
          </w:p>
        </w:tc>
      </w:tr>
      <w:tr>
        <w:tc>
          <w:tcPr>
            <w:tcW w:type="dxa" w:w="2880"/>
          </w:tcPr>
          <w:p>
            <w:r>
              <w:t>⑥ 最终占比</w:t>
            </w:r>
          </w:p>
        </w:tc>
        <w:tc>
          <w:tcPr>
            <w:tcW w:type="dxa" w:w="2880"/>
          </w:tcPr>
          <w:p>
            <w:r>
              <w:t>自身与基准加权混合，再叠加趋势调整，最后归一化</w:t>
            </w:r>
          </w:p>
        </w:tc>
        <w:tc>
          <w:tcPr>
            <w:tcW w:type="dxa" w:w="2880"/>
          </w:tcPr>
          <w:p>
            <w:r>
              <w:t>k、权重上下限、α、调整上限</w:t>
            </w:r>
          </w:p>
        </w:tc>
      </w:tr>
      <w:tr>
        <w:tc>
          <w:tcPr>
            <w:tcW w:type="dxa" w:w="2880"/>
          </w:tcPr>
          <w:p>
            <w:r>
              <w:t>⑦ 落货量</w:t>
            </w:r>
          </w:p>
        </w:tc>
        <w:tc>
          <w:tcPr>
            <w:tcW w:type="dxa" w:w="2880"/>
          </w:tcPr>
          <w:p>
            <w:r>
              <w:t>占比 × 批量，最大余额法保证整数合计精确等于批量</w:t>
            </w:r>
          </w:p>
        </w:tc>
        <w:tc>
          <w:tcPr>
            <w:tcW w:type="dxa" w:w="2880"/>
          </w:tcPr>
          <w:p>
            <w:r>
              <w:t>—</w:t>
            </w:r>
          </w:p>
        </w:tc>
      </w:tr>
    </w:tbl>
    <w:p/>
    <w:p>
      <w:pPr>
        <w:pStyle w:val="Heading1"/>
      </w:pPr>
      <w:r>
        <w:t>参数生效层级一览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参数</w:t>
            </w:r>
          </w:p>
        </w:tc>
        <w:tc>
          <w:tcPr>
            <w:tcW w:type="dxa" w:w="2160"/>
          </w:tcPr>
          <w:p>
            <w:r>
              <w:rPr>
                <w:b/>
              </w:rPr>
              <w:t>作用层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影响范围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t>λ 衰减速度</w:t>
            </w:r>
          </w:p>
        </w:tc>
        <w:tc>
          <w:tcPr>
            <w:tcW w:type="dxa" w:w="2160"/>
          </w:tcPr>
          <w:p>
            <w:r>
              <w:t>加权层（步骤②）</w:t>
            </w:r>
          </w:p>
        </w:tc>
        <w:tc>
          <w:tcPr>
            <w:tcW w:type="dxa" w:w="2160"/>
          </w:tcPr>
          <w:p>
            <w:r>
              <w:t>全局，所有品类</w:t>
            </w:r>
          </w:p>
        </w:tc>
        <w:tc>
          <w:tcPr>
            <w:tcW w:type="dxa" w:w="2160"/>
          </w:tcPr>
          <w:p>
            <w:r>
              <w:t>控制目标期内近期 vs 远期数据权重</w:t>
            </w:r>
          </w:p>
        </w:tc>
      </w:tr>
      <w:tr>
        <w:tc>
          <w:tcPr>
            <w:tcW w:type="dxa" w:w="2160"/>
          </w:tcPr>
          <w:p>
            <w:r>
              <w:t>β 季节增强倍数</w:t>
            </w:r>
          </w:p>
        </w:tc>
        <w:tc>
          <w:tcPr>
            <w:tcW w:type="dxa" w:w="2160"/>
          </w:tcPr>
          <w:p>
            <w:r>
              <w:t>加权层（步骤③）</w:t>
            </w:r>
          </w:p>
        </w:tc>
        <w:tc>
          <w:tcPr>
            <w:tcW w:type="dxa" w:w="2160"/>
          </w:tcPr>
          <w:p>
            <w:r>
              <w:t>仅适用品类</w:t>
            </w:r>
          </w:p>
        </w:tc>
        <w:tc>
          <w:tcPr>
            <w:tcW w:type="dxa" w:w="2160"/>
          </w:tcPr>
          <w:p>
            <w:r>
              <w:t>放大同季历史数据权重</w:t>
            </w:r>
          </w:p>
        </w:tc>
      </w:tr>
      <w:tr>
        <w:tc>
          <w:tcPr>
            <w:tcW w:type="dxa" w:w="2160"/>
          </w:tcPr>
          <w:p>
            <w:r>
              <w:t>α 趋势因子</w:t>
            </w:r>
          </w:p>
        </w:tc>
        <w:tc>
          <w:tcPr>
            <w:tcW w:type="dxa" w:w="2160"/>
          </w:tcPr>
          <w:p>
            <w:r>
              <w:t>最终占比层（步骤⑥）</w:t>
            </w:r>
          </w:p>
        </w:tc>
        <w:tc>
          <w:tcPr>
            <w:tcW w:type="dxa" w:w="2160"/>
          </w:tcPr>
          <w:p>
            <w:r>
              <w:t>全局，有趋势数据的SKU</w:t>
            </w:r>
          </w:p>
        </w:tc>
        <w:tc>
          <w:tcPr>
            <w:tcW w:type="dxa" w:w="2160"/>
          </w:tcPr>
          <w:p>
            <w:r>
              <w:t>叠加年度趋势差到最终占比</w:t>
            </w:r>
          </w:p>
        </w:tc>
      </w:tr>
      <w:tr>
        <w:tc>
          <w:tcPr>
            <w:tcW w:type="dxa" w:w="2160"/>
          </w:tcPr>
          <w:p>
            <w:r>
              <w:t>k 收缩强度</w:t>
            </w:r>
          </w:p>
        </w:tc>
        <w:tc>
          <w:tcPr>
            <w:tcW w:type="dxa" w:w="2160"/>
          </w:tcPr>
          <w:p>
            <w:r>
              <w:t>SKU层混合（步骤⑥）</w:t>
            </w:r>
          </w:p>
        </w:tc>
        <w:tc>
          <w:tcPr>
            <w:tcW w:type="dxa" w:w="2160"/>
          </w:tcPr>
          <w:p>
            <w:r>
              <w:t>全局</w:t>
            </w:r>
          </w:p>
        </w:tc>
        <w:tc>
          <w:tcPr>
            <w:tcW w:type="dxa" w:w="2160"/>
          </w:tcPr>
          <w:p>
            <w:r>
              <w:t>自身历史 vs 基准的混合比例</w:t>
            </w:r>
          </w:p>
        </w:tc>
      </w:tr>
      <w:tr>
        <w:tc>
          <w:tcPr>
            <w:tcW w:type="dxa" w:w="2160"/>
          </w:tcPr>
          <w:p>
            <w:r>
              <w:t>k_cat 品类层观测数</w:t>
            </w:r>
          </w:p>
        </w:tc>
        <w:tc>
          <w:tcPr>
            <w:tcW w:type="dxa" w:w="2160"/>
          </w:tcPr>
          <w:p>
            <w:r>
              <w:t>基准层收缩（步骤⑤）</w:t>
            </w:r>
          </w:p>
        </w:tc>
        <w:tc>
          <w:tcPr>
            <w:tcW w:type="dxa" w:w="2160"/>
          </w:tcPr>
          <w:p>
            <w:r>
              <w:t>全局</w:t>
            </w:r>
          </w:p>
        </w:tc>
        <w:tc>
          <w:tcPr>
            <w:tcW w:type="dxa" w:w="2160"/>
          </w:tcPr>
          <w:p>
            <w:r>
              <w:t>子层基准 vs 父层基准的混合比例</w:t>
            </w:r>
          </w:p>
        </w:tc>
      </w:tr>
    </w:tbl>
    <w:p/>
    <w:p>
      <w:pPr>
        <w:pStyle w:val="Heading1"/>
      </w:pPr>
      <w:r>
        <w:t>常见问题（FAQ）</w:t>
      </w:r>
    </w:p>
    <w:p>
      <w:r/>
      <w:r>
        <w:rPr>
          <w:b/>
        </w:rPr>
        <w:t>Q1：季节匹配因子是默认按「庭院、草坪与花园/庭院」来，还是基于上传数据判断？</w:t>
      </w:r>
      <w:r/>
    </w:p>
    <w:p>
      <w:r>
        <w:t>混合模式。上传数据后，系统从你的「一级分类」列提取所有唯一品类作为可选项，自动勾选其中名为「庭院、草坪与花园」和「庭院」的品类作为默认值。你可以手动增删。如果上传数据里不包含这两个品类名，则默认不勾选任何品类，季节因子不生效。</w:t>
      </w:r>
    </w:p>
    <w:p>
      <w:r>
        <w:t>――――――――――――――――――――――――――――――――――――――――</w:t>
      </w:r>
    </w:p>
    <w:p>
      <w:r/>
      <w:r>
        <w:rPr>
          <w:b/>
        </w:rPr>
        <w:t>Q2：趋势因子和季节匹配因子作用一致吗？需要都保留吗？</w:t>
      </w:r>
      <w:r/>
    </w:p>
    <w:p>
      <w:r>
        <w:t>两者作用层级不同，不冲突，建议都保留：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</w:p>
        </w:tc>
        <w:tc>
          <w:tcPr>
            <w:tcW w:type="dxa" w:w="2880"/>
          </w:tcPr>
          <w:p>
            <w:r>
              <w:rPr>
                <w:b/>
              </w:rPr>
              <w:t>季节匹配因子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趋势因子</w:t>
            </w:r>
          </w:p>
        </w:tc>
      </w:tr>
      <w:tr>
        <w:tc>
          <w:tcPr>
            <w:tcW w:type="dxa" w:w="2880"/>
          </w:tcPr>
          <w:p>
            <w:r>
              <w:t>作用步骤</w:t>
            </w:r>
          </w:p>
        </w:tc>
        <w:tc>
          <w:tcPr>
            <w:tcW w:type="dxa" w:w="2880"/>
          </w:tcPr>
          <w:p>
            <w:r>
              <w:t>③ 加权层</w:t>
            </w:r>
          </w:p>
        </w:tc>
        <w:tc>
          <w:tcPr>
            <w:tcW w:type="dxa" w:w="2880"/>
          </w:tcPr>
          <w:p>
            <w:r>
              <w:t>⑥ 最终占比层</w:t>
            </w:r>
          </w:p>
        </w:tc>
      </w:tr>
      <w:tr>
        <w:tc>
          <w:tcPr>
            <w:tcW w:type="dxa" w:w="2880"/>
          </w:tcPr>
          <w:p>
            <w:r>
              <w:t>做什么</w:t>
            </w:r>
          </w:p>
        </w:tc>
        <w:tc>
          <w:tcPr>
            <w:tcW w:type="dxa" w:w="2880"/>
          </w:tcPr>
          <w:p>
            <w:r>
              <w:t>放大同季历史数据的权重</w:t>
            </w:r>
          </w:p>
        </w:tc>
        <w:tc>
          <w:tcPr>
            <w:tcW w:type="dxa" w:w="2880"/>
          </w:tcPr>
          <w:p>
            <w:r>
              <w:t>叠加年度趋势差到最终占比</w:t>
            </w:r>
          </w:p>
        </w:tc>
      </w:tr>
      <w:tr>
        <w:tc>
          <w:tcPr>
            <w:tcW w:type="dxa" w:w="2880"/>
          </w:tcPr>
          <w:p>
            <w:r>
              <w:t>影响范围</w:t>
            </w:r>
          </w:p>
        </w:tc>
        <w:tc>
          <w:tcPr>
            <w:tcW w:type="dxa" w:w="2880"/>
          </w:tcPr>
          <w:p>
            <w:r>
              <w:t>仅适用品类</w:t>
            </w:r>
          </w:p>
        </w:tc>
        <w:tc>
          <w:tcPr>
            <w:tcW w:type="dxa" w:w="2880"/>
          </w:tcPr>
          <w:p>
            <w:r>
              <w:t>全局（有趋势数据的SKU）</w:t>
            </w:r>
          </w:p>
        </w:tc>
      </w:tr>
      <w:tr>
        <w:tc>
          <w:tcPr>
            <w:tcW w:type="dxa" w:w="2880"/>
          </w:tcPr>
          <w:p>
            <w:r>
              <w:t>关键参数</w:t>
            </w:r>
          </w:p>
        </w:tc>
        <w:tc>
          <w:tcPr>
            <w:tcW w:type="dxa" w:w="2880"/>
          </w:tcPr>
          <w:p>
            <w:r>
              <w:t>β、N</w:t>
            </w:r>
          </w:p>
        </w:tc>
        <w:tc>
          <w:tcPr>
            <w:tcW w:type="dxa" w:w="2880"/>
          </w:tcPr>
          <w:p>
            <w:r>
              <w:t>α、调整上限</w:t>
            </w:r>
          </w:p>
        </w:tc>
      </w:tr>
    </w:tbl>
    <w:p/>
    <w:p>
      <w:r>
        <w:t>简单说：季节因子让预测贴近去年同期的数据分布，趋势因子让预测跟随年度变化方向。两者互补。</w:t>
      </w:r>
    </w:p>
    <w:p>
      <w:r>
        <w:t>――――――――――――――――――――――――――――――――――――――――</w:t>
      </w:r>
    </w:p>
    <w:p>
      <w:r/>
      <w:r>
        <w:rPr>
          <w:b/>
        </w:rPr>
        <w:t>Q3：「品类层最小等效观测数」默认值12代表什么含义？</w:t>
      </w:r>
      <w:r/>
    </w:p>
    <w:p>
      <w:r>
        <w:t>这是基准计算中的贝叶斯收缩参数。公式为：子层权重 = n / (n + k_cat)</w:t>
      </w:r>
    </w:p>
    <w:p>
      <w:r>
        <w:t>其中 n = 该层目标期的实际观测行数，k_cat = 此参数（默认12）。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观测行数 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子层权重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父层权重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含义</w:t>
            </w:r>
          </w:p>
        </w:tc>
      </w:tr>
      <w:tr>
        <w:tc>
          <w:tcPr>
            <w:tcW w:type="dxa" w:w="2160"/>
          </w:tcPr>
          <w:p>
            <w:r>
              <w:t>n = 4</w:t>
            </w:r>
          </w:p>
        </w:tc>
        <w:tc>
          <w:tcPr>
            <w:tcW w:type="dxa" w:w="2160"/>
          </w:tcPr>
          <w:p>
            <w:r>
              <w:t>25%</w:t>
            </w:r>
          </w:p>
        </w:tc>
        <w:tc>
          <w:tcPr>
            <w:tcW w:type="dxa" w:w="2160"/>
          </w:tcPr>
          <w:p>
            <w:r>
              <w:t>75%</w:t>
            </w:r>
          </w:p>
        </w:tc>
        <w:tc>
          <w:tcPr>
            <w:tcW w:type="dxa" w:w="2160"/>
          </w:tcPr>
          <w:p>
            <w:r>
              <w:t>数据太少，大部分用父层均值</w:t>
            </w:r>
          </w:p>
        </w:tc>
      </w:tr>
      <w:tr>
        <w:tc>
          <w:tcPr>
            <w:tcW w:type="dxa" w:w="2160"/>
          </w:tcPr>
          <w:p>
            <w:r>
              <w:t>n = 12</w:t>
            </w:r>
          </w:p>
        </w:tc>
        <w:tc>
          <w:tcPr>
            <w:tcW w:type="dxa" w:w="2160"/>
          </w:tcPr>
          <w:p>
            <w:r>
              <w:t>50%</w:t>
            </w:r>
          </w:p>
        </w:tc>
        <w:tc>
          <w:tcPr>
            <w:tcW w:type="dxa" w:w="2160"/>
          </w:tcPr>
          <w:p>
            <w:r>
              <w:t>50%</w:t>
            </w:r>
          </w:p>
        </w:tc>
        <w:tc>
          <w:tcPr>
            <w:tcW w:type="dxa" w:w="2160"/>
          </w:tcPr>
          <w:p>
            <w:r>
              <w:t>临界点，子层和父层各半</w:t>
            </w:r>
          </w:p>
        </w:tc>
      </w:tr>
      <w:tr>
        <w:tc>
          <w:tcPr>
            <w:tcW w:type="dxa" w:w="2160"/>
          </w:tcPr>
          <w:p>
            <w:r>
              <w:t>n = 88</w:t>
            </w:r>
          </w:p>
        </w:tc>
        <w:tc>
          <w:tcPr>
            <w:tcW w:type="dxa" w:w="2160"/>
          </w:tcPr>
          <w:p>
            <w:r>
              <w:t>88%</w:t>
            </w:r>
          </w:p>
        </w:tc>
        <w:tc>
          <w:tcPr>
            <w:tcW w:type="dxa" w:w="2160"/>
          </w:tcPr>
          <w:p>
            <w:r>
              <w:t>12%</w:t>
            </w:r>
          </w:p>
        </w:tc>
        <w:tc>
          <w:tcPr>
            <w:tcW w:type="dxa" w:w="2160"/>
          </w:tcPr>
          <w:p>
            <w:r>
              <w:t>数据充足，信任子层自身</w:t>
            </w:r>
          </w:p>
        </w:tc>
      </w:tr>
    </w:tbl>
    <w:p/>
    <w:p>
      <w:r>
        <w:t>k_cat 越大越保守——子层样本少时更快被拉向上层均值。</w:t>
      </w:r>
    </w:p>
    <w:p>
      <w:r>
        <w:t>――――――――――――――――――――――――――――――――――――――――</w:t>
      </w:r>
    </w:p>
    <w:p>
      <w:r/>
      <w:r>
        <w:rPr>
          <w:b/>
        </w:rPr>
        <w:t>Q4：「季节增强倍数」默认值3.0代表什么含义？</w:t>
      </w:r>
      <w:r/>
    </w:p>
    <w:p>
      <w:r>
        <w:t>β=3.0 表示：落在季节窗口内的历史数据，其权重被放大3倍。</w:t>
      </w:r>
    </w:p>
    <w:p>
      <w:r>
        <w:t>例如：某行数据原始衰减权重为 0.5，在季节窗口内则变为 0.5 × 3.0 = 1.5。非季节性品类的数据权重不变（× 1.0）。</w:t>
      </w:r>
    </w:p>
    <w:p>
      <w:r>
        <w:t>这让去年同季的数据在加权计算中占据主导地位，尤其适用于「庭院、草坪与花园」等强季节性品类。</w:t>
      </w:r>
    </w:p>
    <w:p>
      <w:r>
        <w:t>――――――――――――――――――――――――――――――――――――――――</w:t>
      </w:r>
    </w:p>
    <w:p>
      <w:r/>
      <w:r>
        <w:rPr>
          <w:b/>
        </w:rPr>
        <w:t>Q5：4个仓库的占比加起来必须等于100%，能实现吗？</w:t>
      </w:r>
      <w:r/>
    </w:p>
    <w:p>
      <w:r>
        <w:t>已实现，三层保障：</w:t>
      </w:r>
    </w:p>
    <w:p>
      <w:r>
        <w:t>1. 引擎层：Step6 计算完最终占比后自动归一化，四仓合计 = 100%</w:t>
      </w:r>
    </w:p>
    <w:p>
      <w:r>
        <w:t>2. 侧边栏开关：「归一化（四仓合计=100%）」默认开启，趋势调整后再次归一化</w:t>
      </w:r>
    </w:p>
    <w:p>
      <w:r>
        <w:t>3. 微调区：改一个仓的占比，其余三仓按原比例自动补足，合计锁定 100%</w:t>
      </w:r>
    </w:p>
    <w:p>
      <w:r>
        <w:t>4. 自检：计算后自动验证「最终占比」和「调整后占比」的合计偏差 &lt; 1e-9</w:t>
      </w:r>
    </w:p>
    <w:p>
      <w:r>
        <w:t>落货量分配使用最大余额法，保证整数合计精确等于发运批量。</w:t>
      </w:r>
    </w:p>
    <w:p>
      <w:r>
        <w:t>――――――――――――――――――――――――――――――――――――――――</w:t>
      </w:r>
    </w:p>
    <w:p>
      <w:r/>
      <w:r>
        <w:rPr>
          <w:b/>
        </w:rPr>
        <w:t>Q6：「减仓优化」是什么？</w:t>
      </w:r>
      <w:r/>
    </w:p>
    <w:p>
      <w:r>
        <w:t>侧边栏「减仓优化」开关，默认关闭。启用后，月均单量&lt;3单且分仓占比&lt;5%的仓点会被减仓，其占比按其他仓现有比例等比分配并归一化到100%。仅影响SKU层分仓占比，上层聚合使用减仓前原始数据。导出时SKU表增加「是否减仓」列备注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