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60" w:after="283"/>
        <w:jc w:val="left"/>
        <w:rPr/>
      </w:pPr>
      <w:r>
        <w:rPr/>
        <w:t>Terminal 3 ADK — Bounty Submission</w:t>
      </w:r>
    </w:p>
    <w:p>
      <w:pPr>
        <w:pStyle w:val="BodyText"/>
        <w:bidi w:val="0"/>
        <w:jc w:val="left"/>
        <w:rPr/>
      </w:pPr>
      <w:r>
        <w:rPr>
          <w:rStyle w:val="Strong"/>
        </w:rPr>
        <w:t>Repo:</w:t>
      </w:r>
      <w:r>
        <w:rPr/>
        <w:t xml:space="preserve"> </w:t>
      </w:r>
      <w:hyperlink r:id="rId2">
        <w:r>
          <w:rPr>
            <w:rStyle w:val="Hyperlink"/>
          </w:rPr>
          <w:t>https://github.com/G-ojies/terminal3-adk</w:t>
        </w:r>
      </w:hyperlink>
      <w:r>
        <w:rPr/>
        <w:t xml:space="preserve"> </w:t>
      </w:r>
      <w:r>
        <w:rPr>
          <w:rStyle w:val="Strong"/>
        </w:rPr>
        <w:t>Live contract:</w:t>
      </w:r>
      <w:r>
        <w:rPr/>
        <w:t xml:space="preserve"> </w:t>
      </w:r>
      <w:r>
        <w:rPr>
          <w:rStyle w:val="SourceText"/>
        </w:rPr>
        <w:t>z:f39cbc5ab038a4b3fa862e025f971485690864e4:eligibility</w:t>
      </w:r>
      <w:r>
        <w:rPr/>
        <w:t xml:space="preserve"> @ 0.1.5 (contract id 717) </w:t>
      </w:r>
      <w:r>
        <w:rPr>
          <w:rStyle w:val="Strong"/>
        </w:rPr>
        <w:t>Live verifier:</w:t>
      </w:r>
      <w:r>
        <w:rPr/>
        <w:t xml:space="preserve"> </w:t>
      </w:r>
      <w:hyperlink r:id="rId3">
        <w:r>
          <w:rPr>
            <w:rStyle w:val="Hyperlink"/>
          </w:rPr>
          <w:t>https://verifier-jade.vercel.app/api/eligibility</w:t>
        </w:r>
      </w:hyperlink>
      <w:r>
        <w:rPr/>
        <w:t xml:space="preserve"> </w:t>
      </w:r>
      <w:r>
        <w:rPr>
          <w:rStyle w:val="Strong"/>
        </w:rPr>
        <w:t>DID:</w:t>
      </w:r>
      <w:r>
        <w:rPr/>
        <w:t xml:space="preserve"> </w:t>
      </w:r>
      <w:r>
        <w:rPr>
          <w:rStyle w:val="SourceText"/>
        </w:rPr>
        <w:t>did:t3n:f39cbc5ab038a4b3fa862e025f971485690864e4</w:t>
      </w:r>
      <w:r>
        <w:rPr/>
        <w:t xml:space="preserve"> </w:t>
      </w:r>
      <w:r>
        <w:rPr>
          <w:rStyle w:val="Strong"/>
        </w:rPr>
        <w:t>Cluster:</w:t>
      </w:r>
      <w:r>
        <w:rPr/>
        <w:t xml:space="preserve"> </w:t>
      </w:r>
      <w:r>
        <w:rPr>
          <w:rStyle w:val="SourceText"/>
        </w:rPr>
        <w:t>cn-api.sg.testnet.t3n.terminal3.io</w:t>
      </w:r>
    </w:p>
    <w:p>
      <w:pPr>
        <w:pStyle w:val="BodyText"/>
        <w:bidi w:val="0"/>
        <w:jc w:val="left"/>
        <w:rPr/>
      </w:pPr>
      <w:r>
        <w:rPr>
          <w:rStyle w:val="Strong"/>
        </w:rPr>
        <w:t>Screenshots:</w:t>
      </w:r>
      <w:r>
        <w:rPr/>
        <w:t xml:space="preserve"> </w:t>
      </w:r>
      <w:hyperlink r:id="rId4">
        <w:r>
          <w:rPr>
            <w:rStyle w:val="Hyperlink"/>
          </w:rPr>
          <w:t>https://github.com/G-ojies/terminal3-adk/tree/main/screenshots</w:t>
        </w:r>
      </w:hyperlink>
    </w:p>
    <w:p>
      <w:pPr>
        <w:pStyle w:val="HorizontalLine"/>
        <w:bidi w:val="0"/>
        <w:jc w:val="left"/>
        <w:rPr/>
      </w:pPr>
      <w:r>
        <w:rPr/>
      </w:r>
    </w:p>
    <w:p>
      <w:pPr>
        <w:pStyle w:val="Heading2"/>
        <w:bidi w:val="0"/>
        <w:jc w:val="left"/>
        <w:rPr/>
      </w:pPr>
      <w:r>
        <w:rPr/>
        <w:t>Screenshots</w:t>
      </w:r>
    </w:p>
    <w:p>
      <w:pPr>
        <w:pStyle w:val="BodyText"/>
        <w:bidi w:val="0"/>
        <w:jc w:val="left"/>
        <w:rPr/>
      </w:pPr>
      <w:r>
        <w:rPr/>
        <w:t xml:space="preserve">All six are captures of real runs against the live testnet, with the command printed at the top of each. Reproducible via </w:t>
      </w:r>
      <w:r>
        <w:rPr>
          <w:rStyle w:val="SourceText"/>
        </w:rPr>
        <w:t>scripts/shoot.sh</w:t>
      </w:r>
      <w:r>
        <w:rPr/>
        <w:t>.</w:t>
      </w:r>
    </w:p>
    <w:p>
      <w:pPr>
        <w:pStyle w:val="BodyTextshot-cap"/>
        <w:bidi w:val="0"/>
        <w:jc w:val="left"/>
        <w:rPr>
          <w:b/>
        </w:rPr>
      </w:pPr>
      <w:r>
        <w:rPr>
          <w:b/>
        </w:rPr>
        <w:t>Screenshot 1 — Registering the Rust TEE contract on testnet</w:t>
      </w:r>
    </w:p>
    <w:p>
      <w:pPr>
        <w:pStyle w:val="BodyText"/>
        <w:bidi w:val="0"/>
        <w:jc w:val="left"/>
        <w:rPr/>
      </w:pPr>
      <w:r>
        <w:rPr/>
        <w:drawing>
          <wp:inline distT="0" distB="0" distL="0" distR="0">
            <wp:extent cx="6286500" cy="2981325"/>
            <wp:effectExtent l="0" t="0" r="0" b="0"/>
            <wp:docPr id="1" name="Image1" descr="Registering the Rust TEE contract on test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Registering the Rust TEE contract on testnet"/>
                    <pic:cNvPicPr>
                      <a:picLocks noChangeAspect="1" noChangeArrowheads="1"/>
                    </pic:cNvPicPr>
                  </pic:nvPicPr>
                  <pic:blipFill>
                    <a:blip r:embed="rId5"/>
                    <a:stretch>
                      <a:fillRect/>
                    </a:stretch>
                  </pic:blipFill>
                  <pic:spPr bwMode="auto">
                    <a:xfrm>
                      <a:off x="0" y="0"/>
                      <a:ext cx="6286500" cy="2981325"/>
                    </a:xfrm>
                    <a:prstGeom prst="rect">
                      <a:avLst/>
                    </a:prstGeom>
                    <a:noFill/>
                  </pic:spPr>
                </pic:pic>
              </a:graphicData>
            </a:graphic>
          </wp:inline>
        </w:drawing>
      </w:r>
    </w:p>
    <w:p>
      <w:pPr>
        <w:pStyle w:val="BodyTextshot-cap"/>
        <w:bidi w:val="0"/>
        <w:jc w:val="left"/>
        <w:rPr>
          <w:b/>
        </w:rPr>
      </w:pPr>
      <w:r>
        <w:rPr>
          <w:b/>
        </w:rPr>
        <w:t>Screenshot 2 — The full flow: issue, reuse, verify, reject tampered</w:t>
      </w:r>
    </w:p>
    <w:p>
      <w:pPr>
        <w:pStyle w:val="BodyText"/>
        <w:bidi w:val="0"/>
        <w:jc w:val="left"/>
        <w:rPr/>
      </w:pPr>
      <w:r>
        <w:rPr/>
        <w:drawing>
          <wp:inline distT="0" distB="0" distL="0" distR="0">
            <wp:extent cx="6286500" cy="3219450"/>
            <wp:effectExtent l="0" t="0" r="0" b="0"/>
            <wp:docPr id="2" name="Image2" descr="The full flow: issue, reuse, verify, reject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The full flow: issue, reuse, verify, reject tampered"/>
                    <pic:cNvPicPr>
                      <a:picLocks noChangeAspect="1" noChangeArrowheads="1"/>
                    </pic:cNvPicPr>
                  </pic:nvPicPr>
                  <pic:blipFill>
                    <a:blip r:embed="rId6"/>
                    <a:stretch>
                      <a:fillRect/>
                    </a:stretch>
                  </pic:blipFill>
                  <pic:spPr bwMode="auto">
                    <a:xfrm>
                      <a:off x="0" y="0"/>
                      <a:ext cx="6286500" cy="3219450"/>
                    </a:xfrm>
                    <a:prstGeom prst="rect">
                      <a:avLst/>
                    </a:prstGeom>
                    <a:noFill/>
                  </pic:spPr>
                </pic:pic>
              </a:graphicData>
            </a:graphic>
          </wp:inline>
        </w:drawing>
      </w:r>
    </w:p>
    <w:p>
      <w:pPr>
        <w:pStyle w:val="BodyTextshot-cap"/>
        <w:bidi w:val="0"/>
        <w:jc w:val="left"/>
        <w:rPr>
          <w:b/>
        </w:rPr>
      </w:pPr>
      <w:r>
        <w:rPr>
          <w:b/>
        </w:rPr>
        <w:t>Screenshot 3 — Proof the host resolves PII placeholders</w:t>
      </w:r>
    </w:p>
    <w:p>
      <w:pPr>
        <w:pStyle w:val="BodyText"/>
        <w:bidi w:val="0"/>
        <w:jc w:val="left"/>
        <w:rPr/>
      </w:pPr>
      <w:r>
        <w:rPr/>
        <w:drawing>
          <wp:inline distT="0" distB="0" distL="0" distR="0">
            <wp:extent cx="6286500" cy="1647825"/>
            <wp:effectExtent l="0" t="0" r="0" b="0"/>
            <wp:docPr id="3" name="Image3" descr="Proof the host resolves PII placeh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Proof the host resolves PII placeholders"/>
                    <pic:cNvPicPr>
                      <a:picLocks noChangeAspect="1" noChangeArrowheads="1"/>
                    </pic:cNvPicPr>
                  </pic:nvPicPr>
                  <pic:blipFill>
                    <a:blip r:embed="rId7"/>
                    <a:stretch>
                      <a:fillRect/>
                    </a:stretch>
                  </pic:blipFill>
                  <pic:spPr bwMode="auto">
                    <a:xfrm>
                      <a:off x="0" y="0"/>
                      <a:ext cx="6286500" cy="1647825"/>
                    </a:xfrm>
                    <a:prstGeom prst="rect">
                      <a:avLst/>
                    </a:prstGeom>
                    <a:noFill/>
                  </pic:spPr>
                </pic:pic>
              </a:graphicData>
            </a:graphic>
          </wp:inline>
        </w:drawing>
      </w:r>
    </w:p>
    <w:p>
      <w:pPr>
        <w:pStyle w:val="BodyTextshot-cap"/>
        <w:bidi w:val="0"/>
        <w:jc w:val="left"/>
        <w:rPr>
          <w:b/>
        </w:rPr>
      </w:pPr>
      <w:r>
        <w:rPr>
          <w:b/>
        </w:rPr>
        <w:t>Screenshot 4 — BUG-10 reproduced: tenant.me is not a function</w:t>
      </w:r>
    </w:p>
    <w:p>
      <w:pPr>
        <w:pStyle w:val="BodyText"/>
        <w:bidi w:val="0"/>
        <w:jc w:val="left"/>
        <w:rPr/>
      </w:pPr>
      <w:r>
        <w:rPr/>
        <w:drawing>
          <wp:inline distT="0" distB="0" distL="0" distR="0">
            <wp:extent cx="6286500" cy="2876550"/>
            <wp:effectExtent l="0" t="0" r="0" b="0"/>
            <wp:docPr id="4" name="Image4" descr="BUG-10 reproduced: tenant.me is not a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BUG-10 reproduced: tenant.me is not a function"/>
                    <pic:cNvPicPr>
                      <a:picLocks noChangeAspect="1" noChangeArrowheads="1"/>
                    </pic:cNvPicPr>
                  </pic:nvPicPr>
                  <pic:blipFill>
                    <a:blip r:embed="rId8"/>
                    <a:stretch>
                      <a:fillRect/>
                    </a:stretch>
                  </pic:blipFill>
                  <pic:spPr bwMode="auto">
                    <a:xfrm>
                      <a:off x="0" y="0"/>
                      <a:ext cx="6286500" cy="2876550"/>
                    </a:xfrm>
                    <a:prstGeom prst="rect">
                      <a:avLst/>
                    </a:prstGeom>
                    <a:noFill/>
                  </pic:spPr>
                </pic:pic>
              </a:graphicData>
            </a:graphic>
          </wp:inline>
        </w:drawing>
      </w:r>
    </w:p>
    <w:p>
      <w:pPr>
        <w:pStyle w:val="BodyTextshot-cap"/>
        <w:bidi w:val="0"/>
        <w:jc w:val="left"/>
        <w:rPr>
          <w:b/>
        </w:rPr>
      </w:pPr>
      <w:r>
        <w:rPr>
          <w:b/>
        </w:rPr>
        <w:t>Screenshot 5 — BUG-01 reproduced: the documented Rust snippet fails to compile</w:t>
      </w:r>
    </w:p>
    <w:p>
      <w:pPr>
        <w:pStyle w:val="BodyText"/>
        <w:bidi w:val="0"/>
        <w:jc w:val="left"/>
        <w:rPr/>
      </w:pPr>
      <w:r>
        <w:rPr/>
        <w:drawing>
          <wp:inline distT="0" distB="0" distL="0" distR="0">
            <wp:extent cx="6286500" cy="3019425"/>
            <wp:effectExtent l="0" t="0" r="0" b="0"/>
            <wp:docPr id="5" name="Image5" descr="BUG-01 reproduced: the documented Rust snippet fails to comp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BUG-01 reproduced: the documented Rust snippet fails to compile"/>
                    <pic:cNvPicPr>
                      <a:picLocks noChangeAspect="1" noChangeArrowheads="1"/>
                    </pic:cNvPicPr>
                  </pic:nvPicPr>
                  <pic:blipFill>
                    <a:blip r:embed="rId9"/>
                    <a:stretch>
                      <a:fillRect/>
                    </a:stretch>
                  </pic:blipFill>
                  <pic:spPr bwMode="auto">
                    <a:xfrm>
                      <a:off x="0" y="0"/>
                      <a:ext cx="6286500" cy="3019425"/>
                    </a:xfrm>
                    <a:prstGeom prst="rect">
                      <a:avLst/>
                    </a:prstGeom>
                    <a:noFill/>
                  </pic:spPr>
                </pic:pic>
              </a:graphicData>
            </a:graphic>
          </wp:inline>
        </w:drawing>
      </w:r>
    </w:p>
    <w:p>
      <w:pPr>
        <w:pStyle w:val="BodyTextshot-cap"/>
        <w:bidi w:val="0"/>
        <w:jc w:val="left"/>
        <w:rPr>
          <w:b/>
        </w:rPr>
      </w:pPr>
      <w:r>
        <w:rPr>
          <w:b/>
        </w:rPr>
        <w:t>Screenshot 6 — 38 tests passing</w:t>
      </w:r>
    </w:p>
    <w:p>
      <w:pPr>
        <w:pStyle w:val="BodyText"/>
        <w:bidi w:val="0"/>
        <w:jc w:val="left"/>
        <w:rPr/>
      </w:pPr>
      <w:r>
        <w:rPr/>
        <w:drawing>
          <wp:inline distT="0" distB="0" distL="0" distR="0">
            <wp:extent cx="6286500" cy="5476875"/>
            <wp:effectExtent l="0" t="0" r="0" b="0"/>
            <wp:docPr id="6" name="Image6" descr="38 tests pa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38 tests passing"/>
                    <pic:cNvPicPr>
                      <a:picLocks noChangeAspect="1" noChangeArrowheads="1"/>
                    </pic:cNvPicPr>
                  </pic:nvPicPr>
                  <pic:blipFill>
                    <a:blip r:embed="rId10"/>
                    <a:stretch>
                      <a:fillRect/>
                    </a:stretch>
                  </pic:blipFill>
                  <pic:spPr bwMode="auto">
                    <a:xfrm>
                      <a:off x="0" y="0"/>
                      <a:ext cx="6286500" cy="5476875"/>
                    </a:xfrm>
                    <a:prstGeom prst="rect">
                      <a:avLst/>
                    </a:prstGeom>
                    <a:noFill/>
                  </pic:spPr>
                </pic:pic>
              </a:graphicData>
            </a:graphic>
          </wp:inline>
        </w:drawing>
      </w:r>
    </w:p>
    <w:p>
      <w:pPr>
        <w:pStyle w:val="HorizontalLine"/>
        <w:bidi w:val="0"/>
        <w:jc w:val="left"/>
        <w:rPr/>
      </w:pPr>
      <w:r>
        <w:rPr/>
      </w:r>
    </w:p>
    <w:p>
      <w:pPr>
        <w:pStyle w:val="Heading2"/>
        <w:bidi w:val="0"/>
        <w:jc w:val="left"/>
        <w:rPr/>
      </w:pPr>
      <w:r>
        <w:rPr/>
        <w:t>Summary</w:t>
      </w:r>
    </w:p>
    <w:p>
      <w:pPr>
        <w:pStyle w:val="BodyText"/>
        <w:bidi w:val="0"/>
        <w:jc w:val="left"/>
        <w:rPr/>
      </w:pPr>
      <w:r>
        <w:rPr/>
        <w:t xml:space="preserve">I completed the Quickstart and the full five-part TEE contract walkthrough, then went beyond it: I wrote and deployed an </w:t>
      </w:r>
      <w:r>
        <w:rPr>
          <w:rStyle w:val="Strong"/>
        </w:rPr>
        <w:t>original Rust TEE contract</w:t>
      </w:r>
      <w:r>
        <w:rPr/>
        <w:t xml:space="preserve"> that demonstrates a use case the reference showcase does not cover, backed by a real external verifier service I also built and deployed.</w:t>
      </w:r>
    </w:p>
    <w:p>
      <w:pPr>
        <w:pStyle w:val="BodyText"/>
        <w:bidi w:val="0"/>
        <w:jc w:val="left"/>
        <w:rPr/>
      </w:pPr>
      <w:r>
        <w:rPr/>
        <w:t xml:space="preserve">Along the way I found </w:t>
      </w:r>
      <w:r>
        <w:rPr>
          <w:rStyle w:val="Strong"/>
        </w:rPr>
        <w:t>16 bugs</w:t>
      </w:r>
      <w:r>
        <w:rPr/>
        <w:t xml:space="preserve">, including three that mean </w:t>
      </w:r>
      <w:r>
        <w:rPr>
          <w:rStyle w:val="Strong"/>
        </w:rPr>
        <w:t>the published Quickstart cannot run as written</w:t>
      </w:r>
      <w:r>
        <w:rPr/>
        <w:t>. One of them is the top unanswered question on this bounty's own listing.</w:t>
      </w:r>
    </w:p>
    <w:p>
      <w:pPr>
        <w:pStyle w:val="BodyText"/>
        <w:bidi w:val="0"/>
        <w:jc w:val="left"/>
        <w:rPr/>
      </w:pPr>
      <w:r>
        <w:rPr/>
        <w:t xml:space="preserve">Everything below is reproducible. The repo contains raw transcripts in </w:t>
      </w:r>
      <w:r>
        <w:rPr>
          <w:rStyle w:val="SourceText"/>
        </w:rPr>
        <w:t>evidence/</w:t>
      </w:r>
      <w:r>
        <w:rPr/>
        <w:t xml:space="preserve">, a minimal compiler-verified reproduction in </w:t>
      </w:r>
      <w:r>
        <w:rPr>
          <w:rStyle w:val="SourceText"/>
        </w:rPr>
        <w:t>repro/</w:t>
      </w:r>
      <w:r>
        <w:rPr/>
        <w:t>, and the node's own request ids for each server-side failure.</w:t>
      </w:r>
    </w:p>
    <w:p>
      <w:pPr>
        <w:pStyle w:val="HorizontalLine"/>
        <w:bidi w:val="0"/>
        <w:jc w:val="left"/>
        <w:rPr/>
      </w:pPr>
      <w:r>
        <w:rPr/>
      </w:r>
    </w:p>
    <w:p>
      <w:pPr>
        <w:pStyle w:val="Heading2"/>
        <w:bidi w:val="0"/>
        <w:jc w:val="left"/>
        <w:rPr/>
      </w:pPr>
      <w:r>
        <w:rPr/>
        <w:t>Part 1 — The published Quickstart does not run</w:t>
      </w:r>
    </w:p>
    <w:p>
      <w:pPr>
        <w:pStyle w:val="BodyText"/>
        <w:bidi w:val="0"/>
        <w:jc w:val="left"/>
        <w:rPr/>
      </w:pPr>
      <w:r>
        <w:rPr/>
        <w:t>Three separate defects sit between a new developer and their first authenticated call.</w:t>
      </w:r>
    </w:p>
    <w:p>
      <w:pPr>
        <w:pStyle w:val="Heading3"/>
        <w:bidi w:val="0"/>
        <w:jc w:val="left"/>
        <w:rPr/>
      </w:pPr>
      <w:r>
        <w:rPr/>
        <w:t xml:space="preserve">BUG-09 (Blocker) — </w:t>
      </w:r>
      <w:r>
        <w:rPr>
          <w:rStyle w:val="SourceText"/>
        </w:rPr>
        <w:t>T3nClient</w:t>
      </w:r>
      <w:r>
        <w:rPr/>
        <w:t xml:space="preserve"> requires </w:t>
      </w:r>
      <w:r>
        <w:rPr>
          <w:rStyle w:val="SourceText"/>
        </w:rPr>
        <w:t>trustAnchor</w:t>
      </w:r>
      <w:r>
        <w:rPr/>
        <w:t>, which the Quickstart omits</w:t>
      </w:r>
    </w:p>
    <w:p>
      <w:pPr>
        <w:pStyle w:val="BodyText"/>
        <w:bidi w:val="0"/>
        <w:jc w:val="left"/>
        <w:rPr/>
      </w:pPr>
      <w:r>
        <w:rPr/>
        <w:t>The very first code sample on the "working in under 10 minutes" page throws:</w:t>
      </w:r>
    </w:p>
    <w:p>
      <w:pPr>
        <w:pStyle w:val="PreformattedText"/>
        <w:bidi w:val="0"/>
        <w:jc w:val="left"/>
        <w:rPr/>
      </w:pPr>
      <w:r>
        <w:rPr>
          <w:rStyle w:val="SourceText"/>
        </w:rPr>
        <w:t>T3nConfigError: T3nClient: `trustAnchor` is required and must be either a</w:t>
      </w:r>
    </w:p>
    <w:p>
      <w:pPr>
        <w:pStyle w:val="PreformattedText"/>
        <w:bidi w:val="0"/>
        <w:jc w:val="left"/>
        <w:rPr/>
      </w:pPr>
      <w:r>
        <w:rPr>
          <w:rStyle w:val="SourceText"/>
        </w:rPr>
        <w:t>TrustAnchor ({ expected_peer_ids, rtmr3_allowlist }) that pins the node's DKG</w:t>
      </w:r>
    </w:p>
    <w:p>
      <w:pPr>
        <w:pStyle w:val="PreformattedText"/>
        <w:bidi w:val="0"/>
        <w:jc w:val="left"/>
        <w:rPr/>
      </w:pPr>
      <w:r>
        <w:rPr>
          <w:rStyle w:val="SourceText"/>
        </w:rPr>
        <w:t>attestation, or the explicit opt-out { unsafe_trust_server: true }.</w:t>
      </w:r>
    </w:p>
    <w:p>
      <w:pPr>
        <w:pStyle w:val="PreformattedText"/>
        <w:bidi w:val="0"/>
        <w:spacing w:before="0" w:after="283"/>
        <w:jc w:val="left"/>
        <w:rPr/>
      </w:pPr>
      <w:r>
        <w:rPr>
          <w:rStyle w:val="SourceText"/>
        </w:rPr>
        <w:t xml:space="preserve">  </w:t>
      </w:r>
      <w:r>
        <w:rPr>
          <w:rStyle w:val="SourceText"/>
        </w:rPr>
        <w:t>code: 'CONFIG_ERROR', field: 'trustAnchor'</w:t>
      </w:r>
    </w:p>
    <w:p>
      <w:pPr>
        <w:pStyle w:val="BodyText"/>
        <w:bidi w:val="0"/>
        <w:jc w:val="left"/>
        <w:rPr/>
      </w:pPr>
      <w:r>
        <w:rPr/>
        <w:t>The SDK's own types say "Required (no silent default)", so the docs were written against an older SDK.</w:t>
      </w:r>
    </w:p>
    <w:p>
      <w:pPr>
        <w:pStyle w:val="BodyText"/>
        <w:bidi w:val="0"/>
        <w:jc w:val="left"/>
        <w:rPr/>
      </w:pPr>
      <w:r>
        <w:rPr>
          <w:rStyle w:val="Strong"/>
        </w:rPr>
        <w:t>Fix</w:t>
      </w:r>
      <w:r>
        <w:rPr/>
        <w:t xml:space="preserve"> — the secure path, not the opt-out:</w:t>
      </w:r>
    </w:p>
    <w:p>
      <w:pPr>
        <w:pStyle w:val="PreformattedText"/>
        <w:bidi w:val="0"/>
        <w:jc w:val="left"/>
        <w:rPr/>
      </w:pPr>
      <w:r>
        <w:rPr>
          <w:rStyle w:val="SourceText"/>
        </w:rPr>
        <w:t>import { fetchTrustedManifest, getEnvironment } from "@terminal3/t3n-sdk";</w:t>
      </w:r>
    </w:p>
    <w:p>
      <w:pPr>
        <w:pStyle w:val="PreformattedText"/>
        <w:bidi w:val="0"/>
        <w:jc w:val="left"/>
        <w:rPr/>
      </w:pPr>
      <w:r>
        <w:rPr/>
      </w:r>
    </w:p>
    <w:p>
      <w:pPr>
        <w:pStyle w:val="PreformattedText"/>
        <w:bidi w:val="0"/>
        <w:jc w:val="left"/>
        <w:rPr/>
      </w:pPr>
      <w:r>
        <w:rPr>
          <w:rStyle w:val="SourceText"/>
        </w:rPr>
        <w:t>const t3n = new T3nClient({</w:t>
      </w:r>
    </w:p>
    <w:p>
      <w:pPr>
        <w:pStyle w:val="PreformattedText"/>
        <w:bidi w:val="0"/>
        <w:jc w:val="left"/>
        <w:rPr/>
      </w:pPr>
      <w:r>
        <w:rPr>
          <w:rStyle w:val="SourceText"/>
        </w:rPr>
        <w:t xml:space="preserve">  </w:t>
      </w:r>
      <w:r>
        <w:rPr>
          <w:rStyle w:val="SourceText"/>
        </w:rPr>
        <w:t>wasmComponent,</w:t>
      </w:r>
    </w:p>
    <w:p>
      <w:pPr>
        <w:pStyle w:val="PreformattedText"/>
        <w:bidi w:val="0"/>
        <w:jc w:val="left"/>
        <w:rPr/>
      </w:pPr>
      <w:r>
        <w:rPr>
          <w:rStyle w:val="SourceText"/>
        </w:rPr>
        <w:t xml:space="preserve">  </w:t>
      </w:r>
      <w:r>
        <w:rPr>
          <w:rStyle w:val="SourceText"/>
        </w:rPr>
        <w:t>trustAnchor: await fetchTrustedManifest(getEnvironment()),</w:t>
      </w:r>
    </w:p>
    <w:p>
      <w:pPr>
        <w:pStyle w:val="PreformattedText"/>
        <w:bidi w:val="0"/>
        <w:jc w:val="left"/>
        <w:rPr/>
      </w:pPr>
      <w:r>
        <w:rPr>
          <w:rStyle w:val="SourceText"/>
        </w:rPr>
        <w:t xml:space="preserve">  </w:t>
      </w:r>
      <w:r>
        <w:rPr>
          <w:rStyle w:val="SourceText"/>
        </w:rPr>
        <w:t>handlers: { EthSign: metamask_sign(address, undefined, apiKey) },</w:t>
      </w:r>
    </w:p>
    <w:p>
      <w:pPr>
        <w:pStyle w:val="PreformattedText"/>
        <w:bidi w:val="0"/>
        <w:spacing w:before="0" w:after="283"/>
        <w:jc w:val="left"/>
        <w:rPr/>
      </w:pPr>
      <w:r>
        <w:rPr>
          <w:rStyle w:val="SourceText"/>
        </w:rPr>
        <w:t>});</w:t>
      </w:r>
    </w:p>
    <w:p>
      <w:pPr>
        <w:pStyle w:val="BodyText"/>
        <w:bidi w:val="0"/>
        <w:jc w:val="left"/>
        <w:rPr/>
      </w:pPr>
      <w:r>
        <w:rPr/>
        <w:t xml:space="preserve">Please don't document </w:t>
      </w:r>
      <w:r>
        <w:rPr>
          <w:rStyle w:val="SourceText"/>
        </w:rPr>
        <w:t>{ unsafe_trust_server: true }</w:t>
      </w:r>
      <w:r>
        <w:rPr/>
        <w:t xml:space="preserve"> as the quick fix — </w:t>
      </w:r>
      <w:r>
        <w:rPr>
          <w:rStyle w:val="SourceText"/>
        </w:rPr>
        <w:t>fetchTrustedManifest</w:t>
      </w:r>
      <w:r>
        <w:rPr/>
        <w:t xml:space="preserve"> verifies against an SDK-pinned operator key and is barely more code.</w:t>
      </w:r>
    </w:p>
    <w:p>
      <w:pPr>
        <w:pStyle w:val="Heading3"/>
        <w:bidi w:val="0"/>
        <w:jc w:val="left"/>
        <w:rPr/>
      </w:pPr>
      <w:r>
        <w:rPr/>
        <w:t xml:space="preserve">BUG-10 (Blocker) — </w:t>
      </w:r>
      <w:r>
        <w:rPr>
          <w:rStyle w:val="SourceText"/>
        </w:rPr>
        <w:t>tenant.me()</w:t>
      </w:r>
      <w:r>
        <w:rPr/>
        <w:t xml:space="preserve"> does not exist</w:t>
      </w:r>
    </w:p>
    <w:p>
      <w:pPr>
        <w:pStyle w:val="BodyText"/>
        <w:bidi w:val="0"/>
        <w:jc w:val="left"/>
        <w:rPr/>
      </w:pPr>
      <w:r>
        <w:rPr>
          <w:rStyle w:val="Strong"/>
        </w:rPr>
        <w:t>This is the top comment on this bounty's listing</w:t>
      </w:r>
      <w:r>
        <w:rPr/>
        <w:t>, from a developer who never got an answer:</w:t>
      </w:r>
    </w:p>
    <w:p>
      <w:pPr>
        <w:pStyle w:val="BlockQuotation"/>
        <w:bidi w:val="0"/>
        <w:jc w:val="left"/>
        <w:rPr/>
      </w:pPr>
      <w:r>
        <w:rPr>
          <w:rStyle w:val="Emphasis"/>
          <w:i/>
          <w:iCs/>
        </w:rPr>
        <w:t xml:space="preserve">"stuck at Set Up Development Environment, the </w:t>
      </w:r>
      <w:r>
        <w:rPr>
          <w:rStyle w:val="SourceText"/>
        </w:rPr>
        <w:t>await tenant.me()</w:t>
      </w:r>
      <w:r>
        <w:rPr>
          <w:rStyle w:val="Emphasis"/>
          <w:i/>
          <w:iCs/>
        </w:rPr>
        <w:t xml:space="preserve"> line keeps throwing an error and the troubleshooting table don't show a fix for it"</w:t>
      </w:r>
    </w:p>
    <w:p>
      <w:pPr>
        <w:pStyle w:val="BodyText"/>
        <w:bidi w:val="0"/>
        <w:jc w:val="left"/>
        <w:rPr/>
      </w:pPr>
      <w:r>
        <w:rPr/>
        <w:t xml:space="preserve">The documented success check throws </w:t>
      </w:r>
      <w:r>
        <w:rPr>
          <w:rStyle w:val="SourceText"/>
        </w:rPr>
        <w:t>TypeError: tenant.me is not a function</w:t>
      </w:r>
      <w:r>
        <w:rPr/>
        <w:t xml:space="preserve">. </w:t>
      </w:r>
      <w:r>
        <w:rPr>
          <w:rStyle w:val="SourceText"/>
        </w:rPr>
        <w:t>me()</w:t>
      </w:r>
      <w:r>
        <w:rPr/>
        <w:t xml:space="preserve"> is not on </w:t>
      </w:r>
      <w:r>
        <w:rPr>
          <w:rStyle w:val="SourceText"/>
        </w:rPr>
        <w:t>TenantClient</w:t>
      </w:r>
      <w:r>
        <w:rPr/>
        <w:t xml:space="preserve"> — it lives on the </w:t>
      </w:r>
      <w:r>
        <w:rPr>
          <w:rStyle w:val="SourceText"/>
        </w:rPr>
        <w:t>tenant</w:t>
      </w:r>
      <w:r>
        <w:rPr/>
        <w:t xml:space="preserve"> namespace:</w:t>
      </w:r>
    </w:p>
    <w:p>
      <w:pPr>
        <w:pStyle w:val="PreformattedText"/>
        <w:bidi w:val="0"/>
        <w:jc w:val="left"/>
        <w:rPr/>
      </w:pPr>
      <w:r>
        <w:rPr>
          <w:rStyle w:val="SourceText"/>
        </w:rPr>
        <w:t>$ node -e "import('@terminal3/t3n-sdk').then(m=&gt;console.log(</w:t>
      </w:r>
    </w:p>
    <w:p>
      <w:pPr>
        <w:pStyle w:val="PreformattedText"/>
        <w:bidi w:val="0"/>
        <w:jc w:val="left"/>
        <w:rPr/>
      </w:pPr>
      <w:r>
        <w:rPr>
          <w:rStyle w:val="SourceText"/>
        </w:rPr>
        <w:t xml:space="preserve">    </w:t>
      </w:r>
      <w:r>
        <w:rPr>
          <w:rStyle w:val="SourceText"/>
        </w:rPr>
        <w:t>typeof m.TenantClient.prototype.me, typeof m.TenantNamespace.prototype.me))"</w:t>
      </w:r>
    </w:p>
    <w:p>
      <w:pPr>
        <w:pStyle w:val="PreformattedText"/>
        <w:bidi w:val="0"/>
        <w:spacing w:before="0" w:after="283"/>
        <w:jc w:val="left"/>
        <w:rPr/>
      </w:pPr>
      <w:r>
        <w:rPr>
          <w:rStyle w:val="SourceText"/>
        </w:rPr>
        <w:t>undefined function</w:t>
      </w:r>
    </w:p>
    <w:p>
      <w:pPr>
        <w:pStyle w:val="BodyText"/>
        <w:bidi w:val="0"/>
        <w:jc w:val="left"/>
        <w:rPr/>
      </w:pPr>
      <w:r>
        <w:rPr/>
        <w:t xml:space="preserve">So the call is </w:t>
      </w:r>
      <w:r>
        <w:rPr>
          <w:rStyle w:val="SourceText"/>
        </w:rPr>
        <w:t>tenant.tenant.me()</w:t>
      </w:r>
      <w:r>
        <w:rPr/>
        <w:t>. That still fails, because of:</w:t>
      </w:r>
    </w:p>
    <w:p>
      <w:pPr>
        <w:pStyle w:val="Heading3"/>
        <w:bidi w:val="0"/>
        <w:jc w:val="left"/>
        <w:rPr/>
      </w:pPr>
      <w:r>
        <w:rPr/>
        <w:t xml:space="preserve">BUG-11 (Blocker) — </w:t>
      </w:r>
      <w:r>
        <w:rPr>
          <w:rStyle w:val="SourceText"/>
        </w:rPr>
        <w:t>TenantClient</w:t>
      </w:r>
      <w:r>
        <w:rPr/>
        <w:t>'s control plane is wire-incompatible with the node</w:t>
      </w:r>
    </w:p>
    <w:p>
      <w:pPr>
        <w:pStyle w:val="PreformattedText"/>
        <w:bidi w:val="0"/>
        <w:jc w:val="left"/>
        <w:rPr/>
      </w:pPr>
      <w:r>
        <w:rPr>
          <w:rStyle w:val="SourceText"/>
        </w:rPr>
        <w:t>RpcError: Invalid action request: missing field `script_name` at line 1 column 105</w:t>
      </w:r>
    </w:p>
    <w:p>
      <w:pPr>
        <w:pStyle w:val="PreformattedText"/>
        <w:bidi w:val="0"/>
        <w:spacing w:before="0" w:after="283"/>
        <w:jc w:val="left"/>
        <w:rPr/>
      </w:pPr>
      <w:r>
        <w:rPr>
          <w:rStyle w:val="SourceText"/>
        </w:rPr>
        <w:t xml:space="preserve">  </w:t>
      </w:r>
      <w:r>
        <w:rPr>
          <w:rStyle w:val="SourceText"/>
        </w:rPr>
        <w:t>requestId: ec5aa3b0-6ae9-4352-85bf-22edd2bcfff9</w:t>
      </w:r>
    </w:p>
    <w:p>
      <w:pPr>
        <w:pStyle w:val="BodyText"/>
        <w:bidi w:val="0"/>
        <w:jc w:val="left"/>
        <w:rPr/>
      </w:pPr>
      <w:r>
        <w:rPr>
          <w:rStyle w:val="SourceText"/>
        </w:rPr>
        <w:t>TenantClient.controlPayload</w:t>
      </w:r>
      <w:r>
        <w:rPr/>
        <w:t xml:space="preserve"> builds </w:t>
      </w:r>
      <w:r>
        <w:rPr>
          <w:rStyle w:val="SourceText"/>
        </w:rPr>
        <w:t>{ contract_id, contract_version, … }</w:t>
      </w:r>
      <w:r>
        <w:rPr/>
        <w:t xml:space="preserve">, but the node's </w:t>
      </w:r>
      <w:r>
        <w:rPr>
          <w:rStyle w:val="SourceText"/>
        </w:rPr>
        <w:t>action.execute</w:t>
      </w:r>
      <w:r>
        <w:rPr/>
        <w:t xml:space="preserve"> wants </w:t>
      </w:r>
      <w:r>
        <w:rPr>
          <w:rStyle w:val="SourceText"/>
        </w:rPr>
        <w:t>script_name</w:t>
      </w:r>
      <w:r>
        <w:rPr/>
        <w:t xml:space="preserve"> / </w:t>
      </w:r>
      <w:r>
        <w:rPr>
          <w:rStyle w:val="SourceText"/>
        </w:rPr>
        <w:t>script_version</w:t>
      </w:r>
      <w:r>
        <w:rPr/>
        <w:t xml:space="preserve"> — the same names the invoke walkthrough already uses for </w:t>
      </w:r>
      <w:r>
        <w:rPr>
          <w:rStyle w:val="SourceText"/>
        </w:rPr>
        <w:t>T3nClient.execute</w:t>
      </w:r>
      <w:r>
        <w:rPr/>
        <w:t>. The tenant path and the agent path disagree, and the tenant path is wrong.</w:t>
      </w:r>
    </w:p>
    <w:p>
      <w:pPr>
        <w:pStyle w:val="BodyText"/>
        <w:bidi w:val="0"/>
        <w:jc w:val="left"/>
        <w:rPr/>
      </w:pPr>
      <w:r>
        <w:rPr/>
        <w:t xml:space="preserve">Because every </w:t>
      </w:r>
      <w:r>
        <w:rPr>
          <w:rStyle w:val="SourceText"/>
        </w:rPr>
        <w:t>tenant.*</w:t>
      </w:r>
      <w:r>
        <w:rPr/>
        <w:t xml:space="preserve">, </w:t>
      </w:r>
      <w:r>
        <w:rPr>
          <w:rStyle w:val="SourceText"/>
        </w:rPr>
        <w:t>maps.*</w:t>
      </w:r>
      <w:r>
        <w:rPr/>
        <w:t xml:space="preserve"> and </w:t>
      </w:r>
      <w:r>
        <w:rPr>
          <w:rStyle w:val="SourceText"/>
        </w:rPr>
        <w:t>contracts.*</w:t>
      </w:r>
      <w:r>
        <w:rPr/>
        <w:t xml:space="preserve"> helper routes through </w:t>
      </w:r>
      <w:r>
        <w:rPr>
          <w:rStyle w:val="SourceText"/>
        </w:rPr>
        <w:t>executeControl</w:t>
      </w:r>
      <w:r>
        <w:rPr/>
        <w:t xml:space="preserve">, </w:t>
      </w:r>
      <w:r>
        <w:rPr>
          <w:rStyle w:val="Strong"/>
        </w:rPr>
        <w:t>the entire documented deployment path is unusable via the SDK.</w:t>
      </w:r>
    </w:p>
    <w:p>
      <w:pPr>
        <w:pStyle w:val="HorizontalLine"/>
        <w:bidi w:val="0"/>
        <w:jc w:val="left"/>
        <w:rPr/>
      </w:pPr>
      <w:r>
        <w:rPr/>
      </w:r>
    </w:p>
    <w:p>
      <w:pPr>
        <w:pStyle w:val="Heading2"/>
        <w:bidi w:val="0"/>
        <w:jc w:val="left"/>
        <w:rPr/>
      </w:pPr>
      <w:r>
        <w:rPr/>
        <w:t>Part 2 — How I got around it</w:t>
      </w:r>
    </w:p>
    <w:p>
      <w:pPr>
        <w:pStyle w:val="Heading3"/>
        <w:bidi w:val="0"/>
        <w:jc w:val="left"/>
        <w:rPr/>
      </w:pPr>
      <w:r>
        <w:rPr/>
        <w:t xml:space="preserve">BUG-12 (Major) — unknown functions return </w:t>
      </w:r>
      <w:r>
        <w:rPr>
          <w:rStyle w:val="SourceText"/>
        </w:rPr>
        <w:t>Internal error</w:t>
      </w:r>
      <w:r>
        <w:rPr/>
        <w:t>, which masks everything</w:t>
      </w:r>
    </w:p>
    <w:p>
      <w:pPr>
        <w:pStyle w:val="PreformattedText"/>
        <w:bidi w:val="0"/>
        <w:jc w:val="left"/>
        <w:rPr/>
      </w:pPr>
      <w:r>
        <w:rPr>
          <w:rStyle w:val="SourceText"/>
        </w:rPr>
        <w:t>me()                      -&gt; -32603 Internal error [10d424b7-…]</w:t>
      </w:r>
    </w:p>
    <w:p>
      <w:pPr>
        <w:pStyle w:val="PreformattedText"/>
        <w:bidi w:val="0"/>
        <w:spacing w:before="0" w:after="283"/>
        <w:jc w:val="left"/>
        <w:rPr/>
      </w:pPr>
      <w:r>
        <w:rPr>
          <w:rStyle w:val="SourceText"/>
        </w:rPr>
        <w:t>zzz-not-a-real-function   -&gt; -32603 Internal error [b57b60c2-…]</w:t>
      </w:r>
    </w:p>
    <w:p>
      <w:pPr>
        <w:pStyle w:val="BodyText"/>
        <w:bidi w:val="0"/>
        <w:jc w:val="left"/>
        <w:rPr/>
      </w:pPr>
      <w:r>
        <w:rPr/>
        <w:t xml:space="preserve">versus a </w:t>
      </w:r>
      <w:r>
        <w:rPr>
          <w:rStyle w:val="Emphasis"/>
        </w:rPr>
        <w:t>real</w:t>
      </w:r>
      <w:r>
        <w:rPr/>
        <w:t xml:space="preserve"> function given bad arguments:</w:t>
      </w:r>
    </w:p>
    <w:p>
      <w:pPr>
        <w:pStyle w:val="PreformattedText"/>
        <w:bidi w:val="0"/>
        <w:jc w:val="left"/>
        <w:rPr/>
      </w:pPr>
      <w:r>
        <w:rPr>
          <w:rStyle w:val="SourceText"/>
        </w:rPr>
        <w:t>agent-auth-update -&gt; -32602 role-assignments edge validation failed:</w:t>
      </w:r>
    </w:p>
    <w:p>
      <w:pPr>
        <w:pStyle w:val="PreformattedText"/>
        <w:bidi w:val="0"/>
        <w:spacing w:before="0" w:after="283"/>
        <w:jc w:val="left"/>
        <w:rPr/>
      </w:pPr>
      <w:r>
        <w:rPr>
          <w:rStyle w:val="SourceText"/>
        </w:rPr>
        <w:t xml:space="preserve">                     </w:t>
      </w:r>
      <w:r>
        <w:rPr>
          <w:rStyle w:val="SourceText"/>
        </w:rPr>
        <w:t>grants[0] invalid: invalid contract_id: z:deadbeef:noop</w:t>
      </w:r>
    </w:p>
    <w:p>
      <w:pPr>
        <w:pStyle w:val="BodyText"/>
        <w:bidi w:val="0"/>
        <w:jc w:val="left"/>
        <w:rPr/>
      </w:pPr>
      <w:r>
        <w:rPr/>
        <w:t>A client-side name typo is indistinguishable from a broken node, and the docs tell you a generic 500 means "retry, then file a support ticket". That is why BUG-10's real cause went unexplained.</w:t>
      </w:r>
    </w:p>
    <w:p>
      <w:pPr>
        <w:pStyle w:val="BodyText"/>
        <w:bidi w:val="0"/>
        <w:jc w:val="left"/>
        <w:rPr/>
      </w:pPr>
      <w:r>
        <w:rPr/>
        <w:t xml:space="preserve">That asymmetry is also what made the rest of this possible: </w:t>
      </w:r>
      <w:r>
        <w:rPr>
          <w:rStyle w:val="Strong"/>
        </w:rPr>
        <w:t>-32602 means the function exists, -32603 means it doesn't</w:t>
      </w:r>
      <w:r>
        <w:rPr/>
        <w:t>, so the node can be probed for its own API surface.</w:t>
      </w:r>
    </w:p>
    <w:p>
      <w:pPr>
        <w:pStyle w:val="Heading3"/>
        <w:bidi w:val="0"/>
        <w:jc w:val="left"/>
        <w:rPr/>
      </w:pPr>
      <w:r>
        <w:rPr/>
        <w:t>BUG-13 (Blocker) — SDK and node disagree on names throughout</w:t>
      </w:r>
    </w:p>
    <w:p>
      <w:pPr>
        <w:pStyle w:val="BodyText"/>
        <w:bidi w:val="0"/>
        <w:jc w:val="left"/>
        <w:rPr/>
      </w:pPr>
      <w:r>
        <w:rPr/>
        <w:t xml:space="preserve">Recovered by probing </w:t>
      </w:r>
      <w:r>
        <w:rPr>
          <w:rStyle w:val="SourceText"/>
        </w:rPr>
        <w:t>tee:tenant/contracts@1.26.0</w:t>
      </w:r>
      <w:r>
        <w:rPr/>
        <w:t>:</w:t>
      </w:r>
    </w:p>
    <w:p>
      <w:pPr>
        <w:pStyle w:val="PreformattedText"/>
        <w:bidi w:val="0"/>
        <w:jc w:val="left"/>
        <w:rPr/>
      </w:pPr>
      <w:r>
        <w:rPr>
          <w:rStyle w:val="SourceText"/>
        </w:rPr>
        <w:t>absent           me</w:t>
      </w:r>
    </w:p>
    <w:p>
      <w:pPr>
        <w:pStyle w:val="PreformattedText"/>
        <w:bidi w:val="0"/>
        <w:jc w:val="left"/>
        <w:rPr/>
      </w:pPr>
      <w:r>
        <w:rPr>
          <w:rStyle w:val="SourceText"/>
        </w:rPr>
        <w:t>absent           claim</w:t>
      </w:r>
    </w:p>
    <w:p>
      <w:pPr>
        <w:pStyle w:val="PreformattedText"/>
        <w:bidi w:val="0"/>
        <w:jc w:val="left"/>
        <w:rPr/>
      </w:pPr>
      <w:r>
        <w:rPr>
          <w:rStyle w:val="SourceText"/>
        </w:rPr>
        <w:t>EXISTS (ok)      tenant-me</w:t>
      </w:r>
    </w:p>
    <w:p>
      <w:pPr>
        <w:pStyle w:val="PreformattedText"/>
        <w:bidi w:val="0"/>
        <w:jc w:val="left"/>
        <w:rPr/>
      </w:pPr>
      <w:r>
        <w:rPr>
          <w:rStyle w:val="SourceText"/>
        </w:rPr>
        <w:t>EXISTS (params)  map-create         -&gt; missing field `map_name`</w:t>
      </w:r>
    </w:p>
    <w:p>
      <w:pPr>
        <w:pStyle w:val="PreformattedText"/>
        <w:bidi w:val="0"/>
        <w:jc w:val="left"/>
        <w:rPr/>
      </w:pPr>
      <w:r>
        <w:rPr>
          <w:rStyle w:val="SourceText"/>
        </w:rPr>
        <w:t>EXISTS (params)  map-entry-set      -&gt; missing field `map_name`</w:t>
      </w:r>
    </w:p>
    <w:p>
      <w:pPr>
        <w:pStyle w:val="PreformattedText"/>
        <w:bidi w:val="0"/>
        <w:spacing w:before="0" w:after="283"/>
        <w:jc w:val="left"/>
        <w:rPr/>
      </w:pPr>
      <w:r>
        <w:rPr>
          <w:rStyle w:val="SourceText"/>
        </w:rPr>
        <w:t>EXISTS (params)  contract-register  -&gt; missing field `name`</w:t>
      </w:r>
    </w:p>
    <w:tbl>
      <w:tblPr>
        <w:tblW w:w="7066" w:type="dxa"/>
        <w:jc w:val="left"/>
        <w:tblInd w:w="0" w:type="dxa"/>
        <w:tblLayout w:type="fixed"/>
        <w:tblCellMar>
          <w:top w:w="28" w:type="dxa"/>
          <w:left w:w="28" w:type="dxa"/>
          <w:bottom w:w="28" w:type="dxa"/>
          <w:right w:w="28" w:type="dxa"/>
        </w:tblCellMar>
      </w:tblPr>
      <w:tblGrid>
        <w:gridCol w:w="1892"/>
        <w:gridCol w:w="1277"/>
        <w:gridCol w:w="3897"/>
      </w:tblGrid>
      <w:tr>
        <w:trPr>
          <w:tblHeader w:val="true"/>
        </w:trPr>
        <w:tc>
          <w:tcPr>
            <w:tcW w:w="1892" w:type="dxa"/>
            <w:tcBorders/>
            <w:vAlign w:val="center"/>
          </w:tcPr>
          <w:p>
            <w:pPr>
              <w:pStyle w:val="TableHeading"/>
              <w:suppressLineNumbers/>
              <w:shd w:fill="EEEEEE" w:val="clear"/>
              <w:bidi w:val="0"/>
              <w:spacing w:before="0" w:after="283"/>
              <w:jc w:val="left"/>
              <w:rPr/>
            </w:pPr>
            <w:r>
              <w:rPr/>
              <w:t>Operation</w:t>
            </w:r>
          </w:p>
        </w:tc>
        <w:tc>
          <w:tcPr>
            <w:tcW w:w="1277" w:type="dxa"/>
            <w:tcBorders/>
            <w:vAlign w:val="center"/>
          </w:tcPr>
          <w:p>
            <w:pPr>
              <w:pStyle w:val="TableHeading"/>
              <w:suppressLineNumbers/>
              <w:shd w:fill="EEEEEE" w:val="clear"/>
              <w:bidi w:val="0"/>
              <w:spacing w:before="0" w:after="283"/>
              <w:jc w:val="left"/>
              <w:rPr/>
            </w:pPr>
            <w:r>
              <w:rPr/>
              <w:t>SDK sends</w:t>
            </w:r>
          </w:p>
        </w:tc>
        <w:tc>
          <w:tcPr>
            <w:tcW w:w="3897" w:type="dxa"/>
            <w:tcBorders/>
            <w:vAlign w:val="center"/>
          </w:tcPr>
          <w:p>
            <w:pPr>
              <w:pStyle w:val="TableHeading"/>
              <w:suppressLineNumbers/>
              <w:shd w:fill="EEEEEE" w:val="clear"/>
              <w:bidi w:val="0"/>
              <w:spacing w:before="0" w:after="283"/>
              <w:jc w:val="left"/>
              <w:rPr/>
            </w:pPr>
            <w:r>
              <w:rPr/>
              <w:t>Node wants</w:t>
            </w:r>
          </w:p>
        </w:tc>
      </w:tr>
      <w:tr>
        <w:trPr/>
        <w:tc>
          <w:tcPr>
            <w:tcW w:w="1892" w:type="dxa"/>
            <w:tcBorders/>
            <w:vAlign w:val="center"/>
          </w:tcPr>
          <w:p>
            <w:pPr>
              <w:pStyle w:val="TableContents"/>
              <w:bidi w:val="0"/>
              <w:spacing w:before="0" w:after="283"/>
              <w:jc w:val="left"/>
              <w:rPr/>
            </w:pPr>
            <w:r>
              <w:rPr/>
              <w:t>tenant identity</w:t>
            </w:r>
          </w:p>
        </w:tc>
        <w:tc>
          <w:tcPr>
            <w:tcW w:w="1277" w:type="dxa"/>
            <w:tcBorders/>
            <w:vAlign w:val="center"/>
          </w:tcPr>
          <w:p>
            <w:pPr>
              <w:pStyle w:val="TableContents"/>
              <w:bidi w:val="0"/>
              <w:spacing w:before="0" w:after="283"/>
              <w:jc w:val="left"/>
              <w:rPr/>
            </w:pPr>
            <w:r>
              <w:rPr>
                <w:rStyle w:val="SourceText"/>
              </w:rPr>
              <w:t>me</w:t>
            </w:r>
          </w:p>
        </w:tc>
        <w:tc>
          <w:tcPr>
            <w:tcW w:w="3897" w:type="dxa"/>
            <w:tcBorders/>
            <w:vAlign w:val="center"/>
          </w:tcPr>
          <w:p>
            <w:pPr>
              <w:pStyle w:val="TableContents"/>
              <w:bidi w:val="0"/>
              <w:spacing w:before="0" w:after="283"/>
              <w:jc w:val="left"/>
              <w:rPr/>
            </w:pPr>
            <w:r>
              <w:rPr>
                <w:rStyle w:val="SourceText"/>
              </w:rPr>
              <w:t>tenant-me</w:t>
            </w:r>
          </w:p>
        </w:tc>
      </w:tr>
      <w:tr>
        <w:trPr/>
        <w:tc>
          <w:tcPr>
            <w:tcW w:w="1892" w:type="dxa"/>
            <w:tcBorders/>
            <w:vAlign w:val="center"/>
          </w:tcPr>
          <w:p>
            <w:pPr>
              <w:pStyle w:val="TableContents"/>
              <w:bidi w:val="0"/>
              <w:spacing w:before="0" w:after="283"/>
              <w:jc w:val="left"/>
              <w:rPr/>
            </w:pPr>
            <w:r>
              <w:rPr/>
              <w:t>create map</w:t>
            </w:r>
          </w:p>
        </w:tc>
        <w:tc>
          <w:tcPr>
            <w:tcW w:w="1277" w:type="dxa"/>
            <w:tcBorders/>
            <w:vAlign w:val="center"/>
          </w:tcPr>
          <w:p>
            <w:pPr>
              <w:pStyle w:val="TableContents"/>
              <w:bidi w:val="0"/>
              <w:spacing w:before="0" w:after="283"/>
              <w:jc w:val="left"/>
              <w:rPr/>
            </w:pPr>
            <w:r>
              <w:rPr>
                <w:rStyle w:val="SourceText"/>
              </w:rPr>
              <w:t>tail</w:t>
            </w:r>
          </w:p>
        </w:tc>
        <w:tc>
          <w:tcPr>
            <w:tcW w:w="3897" w:type="dxa"/>
            <w:tcBorders/>
            <w:vAlign w:val="center"/>
          </w:tcPr>
          <w:p>
            <w:pPr>
              <w:pStyle w:val="TableContents"/>
              <w:bidi w:val="0"/>
              <w:spacing w:before="0" w:after="283"/>
              <w:jc w:val="left"/>
              <w:rPr/>
            </w:pPr>
            <w:r>
              <w:rPr>
                <w:rStyle w:val="SourceText"/>
              </w:rPr>
              <w:t>map_name</w:t>
            </w:r>
            <w:r>
              <w:rPr/>
              <w:t>, fully canonical</w:t>
            </w:r>
          </w:p>
        </w:tc>
      </w:tr>
      <w:tr>
        <w:trPr/>
        <w:tc>
          <w:tcPr>
            <w:tcW w:w="1892" w:type="dxa"/>
            <w:tcBorders/>
            <w:vAlign w:val="center"/>
          </w:tcPr>
          <w:p>
            <w:pPr>
              <w:pStyle w:val="TableContents"/>
              <w:bidi w:val="0"/>
              <w:spacing w:before="0" w:after="283"/>
              <w:jc w:val="left"/>
              <w:rPr/>
            </w:pPr>
            <w:r>
              <w:rPr/>
              <w:t>register contract</w:t>
            </w:r>
          </w:p>
        </w:tc>
        <w:tc>
          <w:tcPr>
            <w:tcW w:w="1277" w:type="dxa"/>
            <w:tcBorders/>
            <w:vAlign w:val="center"/>
          </w:tcPr>
          <w:p>
            <w:pPr>
              <w:pStyle w:val="TableContents"/>
              <w:bidi w:val="0"/>
              <w:spacing w:before="0" w:after="283"/>
              <w:jc w:val="left"/>
              <w:rPr/>
            </w:pPr>
            <w:r>
              <w:rPr>
                <w:rStyle w:val="SourceText"/>
              </w:rPr>
              <w:t>tail</w:t>
            </w:r>
          </w:p>
        </w:tc>
        <w:tc>
          <w:tcPr>
            <w:tcW w:w="3897" w:type="dxa"/>
            <w:tcBorders/>
            <w:vAlign w:val="center"/>
          </w:tcPr>
          <w:p>
            <w:pPr>
              <w:pStyle w:val="TableContents"/>
              <w:bidi w:val="0"/>
              <w:spacing w:before="0" w:after="283"/>
              <w:jc w:val="left"/>
              <w:rPr/>
            </w:pPr>
            <w:r>
              <w:rPr>
                <w:rStyle w:val="SourceText"/>
              </w:rPr>
              <w:t>name</w:t>
            </w:r>
            <w:r>
              <w:rPr/>
              <w:t>, fully canonical</w:t>
            </w:r>
          </w:p>
        </w:tc>
      </w:tr>
      <w:tr>
        <w:trPr/>
        <w:tc>
          <w:tcPr>
            <w:tcW w:w="1892" w:type="dxa"/>
            <w:tcBorders/>
            <w:vAlign w:val="center"/>
          </w:tcPr>
          <w:p>
            <w:pPr>
              <w:pStyle w:val="TableContents"/>
              <w:bidi w:val="0"/>
              <w:spacing w:before="0" w:after="283"/>
              <w:jc w:val="left"/>
              <w:rPr/>
            </w:pPr>
            <w:r>
              <w:rPr/>
              <w:t>register payload</w:t>
            </w:r>
          </w:p>
        </w:tc>
        <w:tc>
          <w:tcPr>
            <w:tcW w:w="1277" w:type="dxa"/>
            <w:tcBorders/>
            <w:vAlign w:val="center"/>
          </w:tcPr>
          <w:p>
            <w:pPr>
              <w:pStyle w:val="TableContents"/>
              <w:bidi w:val="0"/>
              <w:spacing w:before="0" w:after="283"/>
              <w:jc w:val="left"/>
              <w:rPr/>
            </w:pPr>
            <w:r>
              <w:rPr>
                <w:rStyle w:val="SourceText"/>
              </w:rPr>
              <w:t>wasm</w:t>
            </w:r>
            <w:r>
              <w:rPr/>
              <w:t xml:space="preserve"> field</w:t>
            </w:r>
          </w:p>
        </w:tc>
        <w:tc>
          <w:tcPr>
            <w:tcW w:w="3897" w:type="dxa"/>
            <w:tcBorders/>
            <w:vAlign w:val="center"/>
          </w:tcPr>
          <w:p>
            <w:pPr>
              <w:pStyle w:val="TableContents"/>
              <w:bidi w:val="0"/>
              <w:spacing w:before="0" w:after="283"/>
              <w:jc w:val="left"/>
              <w:rPr/>
            </w:pPr>
            <w:r>
              <w:rPr>
                <w:rStyle w:val="Strong"/>
              </w:rPr>
              <w:t>multipart blob</w:t>
            </w:r>
            <w:r>
              <w:rPr/>
              <w:t xml:space="preserve"> via </w:t>
            </w:r>
            <w:r>
              <w:rPr>
                <w:rStyle w:val="SourceText"/>
              </w:rPr>
              <w:t>executeWithBlob</w:t>
            </w:r>
          </w:p>
        </w:tc>
      </w:tr>
    </w:tbl>
    <w:p>
      <w:pPr>
        <w:pStyle w:val="BodyText"/>
        <w:bidi w:val="0"/>
        <w:jc w:val="left"/>
        <w:rPr/>
      </w:pPr>
      <w:r>
        <w:rPr/>
        <w:t>Bare tails are rejected outright, which settles a documentation contradiction (BUG-06) in favour of the full-name form:</w:t>
      </w:r>
    </w:p>
    <w:p>
      <w:pPr>
        <w:pStyle w:val="PreformattedText"/>
        <w:bidi w:val="0"/>
        <w:spacing w:before="0" w:after="283"/>
        <w:jc w:val="left"/>
        <w:rPr/>
      </w:pPr>
      <w:r>
        <w:rPr>
          <w:rStyle w:val="SourceText"/>
        </w:rPr>
        <w:t>canonical map name invalid: must start with `z:f39cbc5ab038a4b3fa862e025f971485690864e4:`</w:t>
      </w:r>
    </w:p>
    <w:p>
      <w:pPr>
        <w:pStyle w:val="BodyText"/>
        <w:bidi w:val="0"/>
        <w:jc w:val="left"/>
        <w:rPr/>
      </w:pPr>
      <w:r>
        <w:rPr/>
        <w:t xml:space="preserve">The WASM is not a JSON field at all — </w:t>
      </w:r>
      <w:r>
        <w:rPr>
          <w:rStyle w:val="SourceText"/>
        </w:rPr>
        <w:t>{ name, version }</w:t>
      </w:r>
      <w:r>
        <w:rPr/>
        <w:t xml:space="preserve"> alone gives </w:t>
      </w:r>
      <w:r>
        <w:rPr>
          <w:rStyle w:val="SourceText"/>
        </w:rPr>
        <w:t>host:stash.persist-attached-blob: StashError::NoBlobAttached</w:t>
      </w:r>
      <w:r>
        <w:rPr/>
        <w:t>.</w:t>
      </w:r>
    </w:p>
    <w:p>
      <w:pPr>
        <w:pStyle w:val="BodyText"/>
        <w:bidi w:val="0"/>
        <w:jc w:val="left"/>
        <w:rPr/>
      </w:pPr>
      <w:r>
        <w:rPr>
          <w:rStyle w:val="Strong"/>
        </w:rPr>
        <w:t>Working registration:</w:t>
      </w:r>
    </w:p>
    <w:p>
      <w:pPr>
        <w:pStyle w:val="PreformattedText"/>
        <w:bidi w:val="0"/>
        <w:jc w:val="left"/>
        <w:rPr/>
      </w:pPr>
      <w:r>
        <w:rPr>
          <w:rStyle w:val="SourceText"/>
        </w:rPr>
        <w:t>await t3n.executeWithBlob(</w:t>
      </w:r>
    </w:p>
    <w:p>
      <w:pPr>
        <w:pStyle w:val="PreformattedText"/>
        <w:bidi w:val="0"/>
        <w:jc w:val="left"/>
        <w:rPr/>
      </w:pPr>
      <w:r>
        <w:rPr>
          <w:rStyle w:val="SourceText"/>
        </w:rPr>
        <w:t xml:space="preserve">  </w:t>
      </w:r>
      <w:r>
        <w:rPr>
          <w:rStyle w:val="SourceText"/>
        </w:rPr>
        <w:t>{ script_name: "tee:tenant/contracts", script_version: "1.26.0",</w:t>
      </w:r>
    </w:p>
    <w:p>
      <w:pPr>
        <w:pStyle w:val="PreformattedText"/>
        <w:bidi w:val="0"/>
        <w:jc w:val="left"/>
        <w:rPr/>
      </w:pPr>
      <w:r>
        <w:rPr>
          <w:rStyle w:val="SourceText"/>
        </w:rPr>
        <w:t xml:space="preserve">    </w:t>
      </w:r>
      <w:r>
        <w:rPr>
          <w:rStyle w:val="SourceText"/>
        </w:rPr>
        <w:t>function_name: "contract-register",</w:t>
      </w:r>
    </w:p>
    <w:p>
      <w:pPr>
        <w:pStyle w:val="PreformattedText"/>
        <w:bidi w:val="0"/>
        <w:jc w:val="left"/>
        <w:rPr/>
      </w:pPr>
      <w:r>
        <w:rPr>
          <w:rStyle w:val="SourceText"/>
        </w:rPr>
        <w:t xml:space="preserve">    </w:t>
      </w:r>
      <w:r>
        <w:rPr>
          <w:rStyle w:val="SourceText"/>
        </w:rPr>
        <w:t>input: { name: `z:${tid}:eligibility`, version: "0.1.5" } },</w:t>
      </w:r>
    </w:p>
    <w:p>
      <w:pPr>
        <w:pStyle w:val="PreformattedText"/>
        <w:bidi w:val="0"/>
        <w:jc w:val="left"/>
        <w:rPr/>
      </w:pPr>
      <w:r>
        <w:rPr>
          <w:rStyle w:val="SourceText"/>
        </w:rPr>
        <w:t xml:space="preserve">  </w:t>
      </w:r>
      <w:r>
        <w:rPr>
          <w:rStyle w:val="SourceText"/>
        </w:rPr>
        <w:t>new Blob([wasm], { type: "application/wasm" }),</w:t>
      </w:r>
    </w:p>
    <w:p>
      <w:pPr>
        <w:pStyle w:val="PreformattedText"/>
        <w:bidi w:val="0"/>
        <w:jc w:val="left"/>
        <w:rPr/>
      </w:pPr>
      <w:r>
        <w:rPr>
          <w:rStyle w:val="SourceText"/>
        </w:rPr>
        <w:t>);</w:t>
      </w:r>
    </w:p>
    <w:p>
      <w:pPr>
        <w:pStyle w:val="PreformattedText"/>
        <w:bidi w:val="0"/>
        <w:spacing w:before="0" w:after="283"/>
        <w:jc w:val="left"/>
        <w:rPr/>
      </w:pPr>
      <w:r>
        <w:rPr>
          <w:rStyle w:val="SourceText"/>
        </w:rPr>
        <w:t>// -&gt; { name: "z:f39cbc…:eligibility", contract_id: 717 }</w:t>
      </w:r>
    </w:p>
    <w:p>
      <w:pPr>
        <w:pStyle w:val="BodyText"/>
        <w:bidi w:val="0"/>
        <w:jc w:val="left"/>
        <w:rPr/>
      </w:pPr>
      <w:r>
        <w:rPr/>
        <w:t xml:space="preserve">Once past this, </w:t>
      </w:r>
      <w:r>
        <w:rPr>
          <w:rStyle w:val="SourceText"/>
        </w:rPr>
        <w:t>tenant-me</w:t>
      </w:r>
      <w:r>
        <w:rPr/>
        <w:t xml:space="preserve"> confirmed the account was fine all along:</w:t>
      </w:r>
    </w:p>
    <w:p>
      <w:pPr>
        <w:pStyle w:val="PreformattedText"/>
        <w:bidi w:val="0"/>
        <w:jc w:val="left"/>
        <w:rPr/>
      </w:pPr>
      <w:r>
        <w:rPr>
          <w:rStyle w:val="SourceText"/>
        </w:rPr>
        <w:t>{ "tenant": "did:t3n:f39cbc5a…", "label": "testnet-dev", "status": "active",</w:t>
      </w:r>
    </w:p>
    <w:p>
      <w:pPr>
        <w:pStyle w:val="PreformattedText"/>
        <w:bidi w:val="0"/>
        <w:spacing w:before="0" w:after="283"/>
        <w:jc w:val="left"/>
        <w:rPr/>
      </w:pPr>
      <w:r>
        <w:rPr>
          <w:rStyle w:val="SourceText"/>
        </w:rPr>
        <w:t xml:space="preserve">  </w:t>
      </w:r>
      <w:r>
        <w:rPr>
          <w:rStyle w:val="SourceText"/>
        </w:rPr>
        <w:t>"quotas": { "max_contracts": 10, "max_maps": 50, "max_wasm_bytes": 1048576, … } }</w:t>
      </w:r>
    </w:p>
    <w:p>
      <w:pPr>
        <w:pStyle w:val="HorizontalLine"/>
        <w:bidi w:val="0"/>
        <w:jc w:val="left"/>
        <w:rPr/>
      </w:pPr>
      <w:r>
        <w:rPr/>
      </w:r>
    </w:p>
    <w:p>
      <w:pPr>
        <w:pStyle w:val="Heading2"/>
        <w:bidi w:val="0"/>
        <w:jc w:val="left"/>
        <w:rPr/>
      </w:pPr>
      <w:r>
        <w:rPr/>
        <w:t>Part 3 — The Rust walkthrough</w:t>
      </w:r>
    </w:p>
    <w:p>
      <w:pPr>
        <w:pStyle w:val="Heading3"/>
        <w:bidi w:val="0"/>
        <w:jc w:val="left"/>
        <w:rPr/>
      </w:pPr>
      <w:r>
        <w:rPr/>
        <w:t>BUG-01 (Blocker) — the docs contradict the reference implementation, and the snippet does not compile</w:t>
      </w:r>
    </w:p>
    <w:p>
      <w:pPr>
        <w:pStyle w:val="BodyText"/>
        <w:bidi w:val="0"/>
        <w:jc w:val="left"/>
        <w:rPr/>
      </w:pPr>
      <w:r>
        <w:rPr/>
        <w:t xml:space="preserve">The walkthrough says, in a comment and again under Key Design Rules, that the tenant DID is already a string and must </w:t>
      </w:r>
      <w:r>
        <w:rPr>
          <w:rStyle w:val="Strong"/>
        </w:rPr>
        <w:t>not</w:t>
      </w:r>
      <w:r>
        <w:rPr/>
        <w:t xml:space="preserve"> be hex-encoded:</w:t>
      </w:r>
    </w:p>
    <w:p>
      <w:pPr>
        <w:pStyle w:val="PreformattedText"/>
        <w:bidi w:val="0"/>
        <w:jc w:val="left"/>
        <w:rPr/>
      </w:pPr>
      <w:r>
        <w:rPr>
          <w:rStyle w:val="SourceText"/>
        </w:rPr>
        <w:t>// tenant_did() already returns the tid as a string — do not hex::encode it again.</w:t>
      </w:r>
    </w:p>
    <w:p>
      <w:pPr>
        <w:pStyle w:val="PreformattedText"/>
        <w:bidi w:val="0"/>
        <w:jc w:val="left"/>
        <w:rPr/>
      </w:pPr>
      <w:r>
        <w:rPr>
          <w:rStyle w:val="SourceText"/>
        </w:rPr>
        <w:t>// (Wrapping it in hex::encode a second time is a real bug some teams have hit…)</w:t>
      </w:r>
    </w:p>
    <w:p>
      <w:pPr>
        <w:pStyle w:val="PreformattedText"/>
        <w:bidi w:val="0"/>
        <w:jc w:val="left"/>
        <w:rPr/>
      </w:pPr>
      <w:r>
        <w:rPr>
          <w:rStyle w:val="SourceText"/>
        </w:rPr>
        <w:t>let tid = tenant_context::tenant_did();</w:t>
      </w:r>
    </w:p>
    <w:p>
      <w:pPr>
        <w:pStyle w:val="PreformattedText"/>
        <w:bidi w:val="0"/>
        <w:spacing w:before="0" w:after="283"/>
        <w:jc w:val="left"/>
        <w:rPr/>
      </w:pPr>
      <w:r>
        <w:rPr>
          <w:rStyle w:val="SourceText"/>
        </w:rPr>
        <w:t>let map_name = format!("z:{}:secrets", tid);</w:t>
      </w:r>
    </w:p>
    <w:p>
      <w:pPr>
        <w:pStyle w:val="BodyText"/>
        <w:bidi w:val="0"/>
        <w:jc w:val="left"/>
        <w:rPr/>
      </w:pPr>
      <w:r>
        <w:rPr/>
        <w:t>All three of these contradict it:</w:t>
      </w:r>
    </w:p>
    <w:p>
      <w:pPr>
        <w:pStyle w:val="BodyText"/>
        <w:numPr>
          <w:ilvl w:val="0"/>
          <w:numId w:val="1"/>
        </w:numPr>
        <w:tabs>
          <w:tab w:val="clear" w:pos="1134"/>
          <w:tab w:val="left" w:pos="709" w:leader="none"/>
        </w:tabs>
        <w:bidi w:val="0"/>
        <w:spacing w:before="0" w:after="0"/>
        <w:ind w:hanging="283" w:left="709"/>
        <w:jc w:val="left"/>
        <w:rPr/>
      </w:pPr>
      <w:r>
        <w:rPr>
          <w:rStyle w:val="Strong"/>
        </w:rPr>
        <w:t>The WIT declares bytes</w:t>
      </w:r>
      <w:r>
        <w:rPr/>
        <w:t xml:space="preserve"> — </w:t>
      </w:r>
      <w:r>
        <w:rPr>
          <w:rStyle w:val="SourceText"/>
        </w:rPr>
        <w:t>tenant-did: func() -&gt; list&lt;u8&gt;;</w:t>
      </w:r>
      <w:r>
        <w:rPr/>
        <w:t xml:space="preserve"> ("the 20-byte raw CompactDid shape"), in the repo the walkthrough tells you to clone. </w:t>
      </w:r>
    </w:p>
    <w:p>
      <w:pPr>
        <w:pStyle w:val="BodyText"/>
        <w:numPr>
          <w:ilvl w:val="0"/>
          <w:numId w:val="1"/>
        </w:numPr>
        <w:tabs>
          <w:tab w:val="clear" w:pos="1134"/>
          <w:tab w:val="left" w:pos="709" w:leader="none"/>
        </w:tabs>
        <w:bidi w:val="0"/>
        <w:ind w:hanging="283" w:left="709"/>
        <w:jc w:val="left"/>
        <w:rPr/>
      </w:pPr>
      <w:r>
        <w:rPr>
          <w:rStyle w:val="Strong"/>
        </w:rPr>
        <w:t>It does not compile.</w:t>
      </w:r>
      <w:r>
        <w:rPr/>
        <w:t xml:space="preserve"> Applying the documented instruction to Terminal 3's own reference contract:</w:t>
      </w:r>
    </w:p>
    <w:p>
      <w:pPr>
        <w:pStyle w:val="PreformattedText"/>
        <w:numPr>
          <w:ilvl w:val="0"/>
          <w:numId w:val="0"/>
        </w:numPr>
        <w:bidi w:val="0"/>
        <w:ind w:hanging="0" w:left="0"/>
        <w:jc w:val="left"/>
        <w:rPr/>
      </w:pPr>
      <w:r>
        <w:rPr>
          <w:rStyle w:val="SourceText"/>
        </w:rPr>
        <w:t>error[E0277]: `Vec&lt;u8&gt;` doesn't implement `std::fmt::Display`</w:t>
      </w:r>
    </w:p>
    <w:p>
      <w:pPr>
        <w:pStyle w:val="PreformattedText"/>
        <w:numPr>
          <w:ilvl w:val="0"/>
          <w:numId w:val="0"/>
        </w:numPr>
        <w:bidi w:val="0"/>
        <w:spacing w:before="0" w:after="283"/>
        <w:ind w:hanging="0" w:left="0"/>
        <w:jc w:val="left"/>
        <w:rPr/>
      </w:pPr>
      <w:r>
        <w:rPr>
          <w:rStyle w:val="SourceText"/>
        </w:rPr>
        <w:t xml:space="preserve">   </w:t>
      </w:r>
      <w:r>
        <w:rPr>
          <w:rStyle w:val="SourceText"/>
        </w:rPr>
        <w:t>--&gt; src/search.rs:182:51</w:t>
      </w:r>
    </w:p>
    <w:p>
      <w:pPr>
        <w:pStyle w:val="BodyText"/>
        <w:numPr>
          <w:ilvl w:val="0"/>
          <w:numId w:val="1"/>
        </w:numPr>
        <w:tabs>
          <w:tab w:val="clear" w:pos="1134"/>
          <w:tab w:val="left" w:pos="709" w:leader="none"/>
        </w:tabs>
        <w:bidi w:val="0"/>
        <w:ind w:hanging="283" w:left="709"/>
        <w:jc w:val="left"/>
        <w:rPr/>
      </w:pPr>
      <w:r>
        <w:rPr>
          <w:rStyle w:val="Strong"/>
        </w:rPr>
        <w:t>The reference implementation does the opposite</w:t>
      </w:r>
      <w:r>
        <w:rPr/>
        <w:t xml:space="preserve"> — </w:t>
      </w:r>
      <w:r>
        <w:rPr>
          <w:rStyle w:val="SourceText"/>
        </w:rPr>
        <w:t>src/search.rs:182</w:t>
      </w:r>
      <w:r>
        <w:rPr/>
        <w:t xml:space="preserve"> and </w:t>
      </w:r>
      <w:r>
        <w:rPr>
          <w:rStyle w:val="SourceText"/>
        </w:rPr>
        <w:t>src/booking.rs:171</w:t>
      </w:r>
      <w:r>
        <w:rPr/>
        <w:t xml:space="preserve"> both hex-encode. </w:t>
      </w:r>
    </w:p>
    <w:p>
      <w:pPr>
        <w:pStyle w:val="BodyText"/>
        <w:bidi w:val="0"/>
        <w:jc w:val="left"/>
        <w:rPr/>
      </w:pPr>
      <w:r>
        <w:rPr/>
        <w:t>So a developer following the docs faithfully gets a compile error, and the obvious fix is the exact thing the docs just called a known bug. The same wrong rule is repeated on the Common Errors page, so troubleshooting confirms the mistake instead of correcting it.</w:t>
      </w:r>
    </w:p>
    <w:p>
      <w:pPr>
        <w:pStyle w:val="BodyText"/>
        <w:bidi w:val="0"/>
        <w:jc w:val="left"/>
        <w:rPr/>
      </w:pPr>
      <w:r>
        <w:rPr/>
        <w:t xml:space="preserve">Reproduction, as a one-line patch plus captured </w:t>
      </w:r>
      <w:r>
        <w:rPr>
          <w:rStyle w:val="SourceText"/>
        </w:rPr>
        <w:t>rustc</w:t>
      </w:r>
      <w:r>
        <w:rPr/>
        <w:t xml:space="preserve"> output: </w:t>
      </w:r>
      <w:r>
        <w:rPr>
          <w:rStyle w:val="SourceText"/>
        </w:rPr>
        <w:t>repro/bug-01/</w:t>
      </w:r>
      <w:r>
        <w:rPr/>
        <w:t xml:space="preserve"> in the repo.</w:t>
      </w:r>
    </w:p>
    <w:p>
      <w:pPr>
        <w:pStyle w:val="Heading3"/>
        <w:bidi w:val="0"/>
        <w:jc w:val="left"/>
        <w:rPr/>
      </w:pPr>
      <w:r>
        <w:rPr/>
        <w:t xml:space="preserve">BUG-02 (Major) — the documented </w:t>
      </w:r>
      <w:r>
        <w:rPr>
          <w:rStyle w:val="SourceText"/>
        </w:rPr>
        <w:t>Cargo.toml</w:t>
      </w:r>
      <w:r>
        <w:rPr/>
        <w:t xml:space="preserve"> omits </w:t>
      </w:r>
      <w:r>
        <w:rPr>
          <w:rStyle w:val="SourceText"/>
        </w:rPr>
        <w:t>hex</w:t>
      </w:r>
    </w:p>
    <w:p>
      <w:pPr>
        <w:pStyle w:val="BodyText"/>
        <w:bidi w:val="0"/>
        <w:jc w:val="left"/>
        <w:rPr/>
      </w:pPr>
      <w:r>
        <w:rPr/>
        <w:t xml:space="preserve">The reference repo needs </w:t>
      </w:r>
      <w:r>
        <w:rPr>
          <w:rStyle w:val="SourceText"/>
        </w:rPr>
        <w:t>hex = { version = "0.4", … }</w:t>
      </w:r>
      <w:r>
        <w:rPr/>
        <w:t xml:space="preserve"> and uses it in two files; the doc's manifest lists only three dependencies. Copying it gives </w:t>
      </w:r>
      <w:r>
        <w:rPr>
          <w:rStyle w:val="SourceText"/>
        </w:rPr>
        <w:t>E0433: failed to resolve: use of undeclared crate or module 'hex'</w:t>
      </w:r>
      <w:r>
        <w:rPr/>
        <w:t xml:space="preserve"> — a second error from the same under-tested sample.</w:t>
      </w:r>
    </w:p>
    <w:p>
      <w:pPr>
        <w:pStyle w:val="Heading3"/>
        <w:bidi w:val="0"/>
        <w:jc w:val="left"/>
        <w:rPr/>
      </w:pPr>
      <w:r>
        <w:rPr/>
        <w:t xml:space="preserve">BUG-03 (Major) — </w:t>
      </w:r>
      <w:r>
        <w:rPr>
          <w:rStyle w:val="SourceText"/>
        </w:rPr>
        <w:t>getScriptVersion</w:t>
      </w:r>
      <w:r>
        <w:rPr/>
        <w:t xml:space="preserve"> does not exist</w:t>
      </w:r>
    </w:p>
    <w:p>
      <w:pPr>
        <w:pStyle w:val="BodyText"/>
        <w:bidi w:val="0"/>
        <w:jc w:val="left"/>
        <w:rPr/>
      </w:pPr>
      <w:r>
        <w:rPr/>
        <w:t xml:space="preserve">The invoke walkthrough calls it twice. The real export is </w:t>
      </w:r>
      <w:r>
        <w:rPr>
          <w:rStyle w:val="SourceText"/>
        </w:rPr>
        <w:t>getContractVersion</w:t>
      </w:r>
      <w:r>
        <w:rPr/>
        <w:t>, same signature. A plain rename fixes it.</w:t>
      </w:r>
    </w:p>
    <w:p>
      <w:pPr>
        <w:pStyle w:val="HorizontalLine"/>
        <w:bidi w:val="0"/>
        <w:jc w:val="left"/>
        <w:rPr/>
      </w:pPr>
      <w:r>
        <w:rPr/>
      </w:r>
    </w:p>
    <w:p>
      <w:pPr>
        <w:pStyle w:val="Heading2"/>
        <w:bidi w:val="0"/>
        <w:jc w:val="left"/>
        <w:rPr/>
      </w:pPr>
      <w:r>
        <w:rPr/>
        <w:t>Part 4 — Deployment and runtime findings</w:t>
      </w:r>
    </w:p>
    <w:p>
      <w:pPr>
        <w:pStyle w:val="Heading3"/>
        <w:bidi w:val="0"/>
        <w:jc w:val="left"/>
        <w:rPr/>
      </w:pPr>
      <w:r>
        <w:rPr/>
        <w:t>BUG-15 (Major) — re-registering silently orphans every map ACL</w:t>
      </w:r>
    </w:p>
    <w:p>
      <w:pPr>
        <w:pStyle w:val="BodyText"/>
        <w:bidi w:val="0"/>
        <w:jc w:val="left"/>
        <w:rPr/>
      </w:pPr>
      <w:r>
        <w:rPr/>
        <w:t xml:space="preserve">Each </w:t>
      </w:r>
      <w:r>
        <w:rPr>
          <w:rStyle w:val="SourceText"/>
        </w:rPr>
        <w:t>contract-register</w:t>
      </w:r>
      <w:r>
        <w:rPr/>
        <w:t xml:space="preserve"> mints a </w:t>
      </w:r>
      <w:r>
        <w:rPr>
          <w:rStyle w:val="Strong"/>
        </w:rPr>
        <w:t>new</w:t>
      </w:r>
      <w:r>
        <w:rPr/>
        <w:t xml:space="preserve"> </w:t>
      </w:r>
      <w:r>
        <w:rPr>
          <w:rStyle w:val="SourceText"/>
        </w:rPr>
        <w:t>contract_id</w:t>
      </w:r>
      <w:r>
        <w:rPr/>
        <w:t xml:space="preserve"> (I observed 712 → 713 → 714 → 715 → 716 → 717 for one contract). Map ACLs are keyed by </w:t>
      </w:r>
      <w:r>
        <w:rPr>
          <w:rStyle w:val="SourceText"/>
        </w:rPr>
        <w:t>contract_id</w:t>
      </w:r>
      <w:r>
        <w:rPr/>
        <w:t xml:space="preserve">, and </w:t>
      </w:r>
      <w:r>
        <w:rPr>
          <w:rStyle w:val="SourceText"/>
        </w:rPr>
        <w:t>map-create</w:t>
      </w:r>
      <w:r>
        <w:rPr/>
        <w:t xml:space="preserve"> is idempotent — it returns "already exists" without refreshing the ACL. So the second deploy breaks at runtime:</w:t>
      </w:r>
    </w:p>
    <w:p>
      <w:pPr>
        <w:pStyle w:val="PreformattedText"/>
        <w:bidi w:val="0"/>
        <w:jc w:val="left"/>
        <w:rPr/>
      </w:pPr>
      <w:r>
        <w:rPr>
          <w:rStyle w:val="SourceText"/>
        </w:rPr>
        <w:t>access denied: TenantContract(did:t3n:f39cbc…/714) cannot read map</w:t>
      </w:r>
    </w:p>
    <w:p>
      <w:pPr>
        <w:pStyle w:val="PreformattedText"/>
        <w:bidi w:val="0"/>
        <w:spacing w:before="0" w:after="283"/>
        <w:jc w:val="left"/>
        <w:rPr/>
      </w:pPr>
      <w:r>
        <w:rPr>
          <w:rStyle w:val="SourceText"/>
        </w:rPr>
        <w:t>"z:f39cbc…:attestations"   (req f3dc2b01-d584-4c8b-a52c-c8fd88e217f3)</w:t>
      </w:r>
    </w:p>
    <w:p>
      <w:pPr>
        <w:pStyle w:val="BodyText"/>
        <w:bidi w:val="0"/>
        <w:jc w:val="left"/>
        <w:rPr/>
      </w:pPr>
      <w:r>
        <w:rPr/>
        <w:t xml:space="preserve">The fix is to call </w:t>
      </w:r>
      <w:r>
        <w:rPr>
          <w:rStyle w:val="SourceText"/>
        </w:rPr>
        <w:t>map-update</w:t>
      </w:r>
      <w:r>
        <w:rPr/>
        <w:t xml:space="preserve"> on </w:t>
      </w:r>
      <w:r>
        <w:rPr>
          <w:rStyle w:val="Emphasis"/>
        </w:rPr>
        <w:t>every</w:t>
      </w:r>
      <w:r>
        <w:rPr/>
        <w:t xml:space="preserve"> deploy, not just the first.</w:t>
      </w:r>
    </w:p>
    <w:p>
      <w:pPr>
        <w:pStyle w:val="Heading3"/>
        <w:bidi w:val="0"/>
        <w:jc w:val="left"/>
        <w:rPr/>
      </w:pPr>
      <w:r>
        <w:rPr/>
        <w:t xml:space="preserve">BUG-16 (Major) — the user-profile schema is undocumented, and the field is not </w:t>
      </w:r>
      <w:r>
        <w:rPr>
          <w:rStyle w:val="SourceText"/>
        </w:rPr>
        <w:t>country</w:t>
      </w:r>
    </w:p>
    <w:p>
      <w:pPr>
        <w:pStyle w:val="BodyText"/>
        <w:bidi w:val="0"/>
        <w:jc w:val="left"/>
        <w:rPr/>
      </w:pPr>
      <w:r>
        <w:rPr/>
        <w:t xml:space="preserve">Placeholder resolution is the headline feature, but nothing lists the valid </w:t>
      </w:r>
      <w:r>
        <w:rPr>
          <w:rStyle w:val="SourceText"/>
        </w:rPr>
        <w:t>{{profile.&lt;field&gt;}}</w:t>
      </w:r>
      <w:r>
        <w:rPr/>
        <w:t xml:space="preserve"> names. </w:t>
      </w:r>
      <w:r>
        <w:rPr>
          <w:rStyle w:val="SourceText"/>
        </w:rPr>
        <w:t>{{profile.country}}</w:t>
      </w:r>
      <w:r>
        <w:rPr/>
        <w:t xml:space="preserve"> fails only after a full build-register-invoke cycle:</w:t>
      </w:r>
    </w:p>
    <w:p>
      <w:pPr>
        <w:pStyle w:val="PreformattedText"/>
        <w:bidi w:val="0"/>
        <w:spacing w:before="0" w:after="283"/>
        <w:jc w:val="left"/>
        <w:rPr/>
      </w:pPr>
      <w:r>
        <w:rPr>
          <w:rStyle w:val="SourceText"/>
        </w:rPr>
        <w:t>contract error: eligibility verifier: user profile missing field: country</w:t>
      </w:r>
    </w:p>
    <w:p>
      <w:pPr>
        <w:pStyle w:val="BodyText"/>
        <w:bidi w:val="0"/>
        <w:jc w:val="left"/>
        <w:rPr/>
      </w:pPr>
      <w:r>
        <w:rPr>
          <w:rStyle w:val="SourceText"/>
        </w:rPr>
        <w:t>user-upsert</w:t>
      </w:r>
      <w:r>
        <w:rPr/>
        <w:t xml:space="preserve"> rejects unknown keys and names them, which makes the schema recoverable:</w:t>
      </w:r>
    </w:p>
    <w:p>
      <w:pPr>
        <w:pStyle w:val="PreformattedText"/>
        <w:bidi w:val="0"/>
        <w:jc w:val="left"/>
        <w:rPr/>
      </w:pPr>
      <w:r>
        <w:rPr>
          <w:rStyle w:val="SourceText"/>
        </w:rPr>
        <w:t>REJECTED: citizenship, country, country_code, email, family_name, full_name,</w:t>
      </w:r>
    </w:p>
    <w:p>
      <w:pPr>
        <w:pStyle w:val="PreformattedText"/>
        <w:bidi w:val="0"/>
        <w:jc w:val="left"/>
        <w:rPr/>
      </w:pPr>
      <w:r>
        <w:rPr>
          <w:rStyle w:val="SourceText"/>
        </w:rPr>
        <w:t xml:space="preserve">          </w:t>
      </w:r>
      <w:r>
        <w:rPr>
          <w:rStyle w:val="SourceText"/>
        </w:rPr>
        <w:t>given_name, location, nationality, phone, region, residence</w:t>
      </w:r>
    </w:p>
    <w:p>
      <w:pPr>
        <w:pStyle w:val="PreformattedText"/>
        <w:bidi w:val="0"/>
        <w:jc w:val="left"/>
        <w:rPr/>
      </w:pPr>
      <w:r>
        <w:rPr>
          <w:rStyle w:val="SourceText"/>
        </w:rPr>
        <w:t>ACCEPTED: date_of_birth, first_name, last_name, residence_country, address,</w:t>
      </w:r>
    </w:p>
    <w:p>
      <w:pPr>
        <w:pStyle w:val="PreformattedText"/>
        <w:bidi w:val="0"/>
        <w:spacing w:before="0" w:after="283"/>
        <w:jc w:val="left"/>
        <w:rPr/>
      </w:pPr>
      <w:r>
        <w:rPr>
          <w:rStyle w:val="SourceText"/>
        </w:rPr>
        <w:t xml:space="preserve">          </w:t>
      </w:r>
      <w:r>
        <w:rPr>
          <w:rStyle w:val="SourceText"/>
        </w:rPr>
        <w:t>verified_contacts, gender</w:t>
      </w:r>
    </w:p>
    <w:p>
      <w:pPr>
        <w:pStyle w:val="BodyText"/>
        <w:bidi w:val="0"/>
        <w:jc w:val="left"/>
        <w:rPr/>
      </w:pPr>
      <w:r>
        <w:rPr/>
        <w:t xml:space="preserve">The field is </w:t>
      </w:r>
      <w:r>
        <w:rPr>
          <w:rStyle w:val="SourceText"/>
        </w:rPr>
        <w:t>residence_country</w:t>
      </w:r>
      <w:r>
        <w:rPr/>
        <w:t xml:space="preserve">. Note the trap: </w:t>
      </w:r>
      <w:r>
        <w:rPr>
          <w:rStyle w:val="SourceText"/>
        </w:rPr>
        <w:t>country</w:t>
      </w:r>
      <w:r>
        <w:rPr/>
        <w:t xml:space="preserve"> is both the obvious name and an explicitly rejected key.</w:t>
      </w:r>
    </w:p>
    <w:p>
      <w:pPr>
        <w:pStyle w:val="Heading3"/>
        <w:bidi w:val="0"/>
        <w:jc w:val="left"/>
        <w:rPr/>
      </w:pPr>
      <w:r>
        <w:rPr/>
        <w:t>BUG-08 (Blocker) — the three-principal invoke flow can't be completed with a claimed credential</w:t>
      </w:r>
    </w:p>
    <w:p>
      <w:pPr>
        <w:pStyle w:val="BodyText"/>
        <w:bidi w:val="0"/>
        <w:jc w:val="left"/>
        <w:rPr/>
      </w:pPr>
      <w:r>
        <w:rPr/>
        <w:t xml:space="preserve">Since this bounty is titled "Create Agent ID", I tested the agent path properly rather than relying on the self-call fallback. Step 4 of the walkthrough needs </w:t>
      </w:r>
      <w:r>
        <w:rPr>
          <w:rStyle w:val="SourceText"/>
        </w:rPr>
        <w:t>AGENT_KEY</w:t>
      </w:r>
      <w:r>
        <w:rPr/>
        <w:t xml:space="preserve"> and </w:t>
      </w:r>
      <w:r>
        <w:rPr>
          <w:rStyle w:val="SourceText"/>
        </w:rPr>
        <w:t>USER_KEY</w:t>
      </w:r>
      <w:r>
        <w:rPr/>
        <w:t xml:space="preserve"> beyond the tenant key, tells you not to reuse the tenant key, and never says where they come from. So I generated an agent key locally and traced exactly how far it gets.</w:t>
      </w:r>
    </w:p>
    <w:p>
      <w:pPr>
        <w:pStyle w:val="BodyText"/>
        <w:bidi w:val="0"/>
        <w:jc w:val="left"/>
        <w:rPr/>
      </w:pPr>
      <w:r>
        <w:rPr>
          <w:rStyle w:val="Strong"/>
        </w:rPr>
        <w:t>A self-generated key does yield a valid, distinct DID</w:t>
      </w:r>
      <w:r>
        <w:rPr/>
        <w:t>, and authenticates:</w:t>
      </w:r>
    </w:p>
    <w:p>
      <w:pPr>
        <w:pStyle w:val="PreformattedText"/>
        <w:bidi w:val="0"/>
        <w:jc w:val="left"/>
        <w:rPr/>
      </w:pPr>
      <w:r>
        <w:rPr>
          <w:rStyle w:val="SourceText"/>
        </w:rPr>
        <w:t>tenant/user : did:t3n:f39cbc5ab038a4b3fa862e025f971485690864e4</w:t>
      </w:r>
    </w:p>
    <w:p>
      <w:pPr>
        <w:pStyle w:val="PreformattedText"/>
        <w:bidi w:val="0"/>
        <w:jc w:val="left"/>
        <w:rPr/>
      </w:pPr>
      <w:r>
        <w:rPr>
          <w:rStyle w:val="SourceText"/>
        </w:rPr>
        <w:t>agent       : did:t3n:15e4b33b0886f32b63dc9f9a614ad8db17a6e463</w:t>
      </w:r>
    </w:p>
    <w:p>
      <w:pPr>
        <w:pStyle w:val="PreformattedText"/>
        <w:bidi w:val="0"/>
        <w:spacing w:before="0" w:after="283"/>
        <w:jc w:val="left"/>
        <w:rPr/>
      </w:pPr>
      <w:r>
        <w:rPr>
          <w:rStyle w:val="SourceText"/>
        </w:rPr>
        <w:t>same DID?   : no — genuinely distinct</w:t>
      </w:r>
    </w:p>
    <w:p>
      <w:pPr>
        <w:pStyle w:val="BodyText"/>
        <w:bidi w:val="0"/>
        <w:jc w:val="left"/>
        <w:rPr/>
      </w:pPr>
      <w:r>
        <w:rPr>
          <w:rStyle w:val="Strong"/>
        </w:rPr>
        <w:t>The delegation grant succeeds too</w:t>
      </w:r>
      <w:r>
        <w:rPr/>
        <w:t xml:space="preserve"> — the data owner scopes the agent to the contract, its functions and its egress hosts, and the node accepts it:</w:t>
      </w:r>
    </w:p>
    <w:p>
      <w:pPr>
        <w:pStyle w:val="PreformattedText"/>
        <w:bidi w:val="0"/>
        <w:jc w:val="left"/>
        <w:rPr/>
      </w:pPr>
      <w:r>
        <w:rPr>
          <w:rStyle w:val="SourceText"/>
        </w:rPr>
        <w:t>granted did:t3n:15e4b33b0886f32b63dc9f9a614ad8db17a6e463</w:t>
      </w:r>
    </w:p>
    <w:p>
      <w:pPr>
        <w:pStyle w:val="PreformattedText"/>
        <w:bidi w:val="0"/>
        <w:spacing w:before="0" w:after="283"/>
        <w:jc w:val="left"/>
        <w:rPr/>
      </w:pPr>
      <w:r>
        <w:rPr>
          <w:rStyle w:val="SourceText"/>
        </w:rPr>
        <w:t xml:space="preserve">  </w:t>
      </w:r>
      <w:r>
        <w:rPr>
          <w:rStyle w:val="SourceText"/>
        </w:rPr>
        <w:t>-&gt; z:f39cbc…:eligibility (hosts: verifier-jade.vercel.app)</w:t>
      </w:r>
    </w:p>
    <w:p>
      <w:pPr>
        <w:pStyle w:val="BodyText"/>
        <w:bidi w:val="0"/>
        <w:jc w:val="left"/>
        <w:rPr/>
      </w:pPr>
      <w:r>
        <w:rPr>
          <w:rStyle w:val="Strong"/>
        </w:rPr>
        <w:t>But the agent cannot execute anything:</w:t>
      </w:r>
    </w:p>
    <w:p>
      <w:pPr>
        <w:pStyle w:val="PreformattedText"/>
        <w:bidi w:val="0"/>
        <w:jc w:val="left"/>
        <w:rPr/>
      </w:pPr>
      <w:r>
        <w:rPr>
          <w:rStyle w:val="SourceText"/>
        </w:rPr>
        <w:t>[403] InsufficientCredit (account=15e4b33b…, required=10000000000, available=0)</w:t>
      </w:r>
    </w:p>
    <w:p>
      <w:pPr>
        <w:pStyle w:val="PreformattedText"/>
        <w:bidi w:val="0"/>
        <w:spacing w:before="0" w:after="283"/>
        <w:jc w:val="left"/>
        <w:rPr/>
      </w:pPr>
      <w:r>
        <w:rPr>
          <w:rStyle w:val="SourceText"/>
        </w:rPr>
        <w:t xml:space="preserve">      </w:t>
      </w:r>
      <w:r>
        <w:rPr>
          <w:rStyle w:val="SourceText"/>
        </w:rPr>
        <w:t>(req 9be2381f-ddbf-4c9d-a247-69d6605d253d)</w:t>
      </w:r>
    </w:p>
    <w:p>
      <w:pPr>
        <w:pStyle w:val="BodyText"/>
        <w:bidi w:val="0"/>
        <w:jc w:val="left"/>
        <w:rPr/>
      </w:pPr>
      <w:r>
        <w:rPr/>
        <w:t xml:space="preserve">At </w:t>
      </w:r>
      <w:r>
        <w:rPr>
          <w:rStyle w:val="SourceText"/>
        </w:rPr>
        <w:t>TOKEN_DECIMALS = 6</w:t>
      </w:r>
      <w:r>
        <w:rPr/>
        <w:t xml:space="preserve"> that is </w:t>
      </w:r>
      <w:r>
        <w:rPr>
          <w:rStyle w:val="Strong"/>
        </w:rPr>
        <w:t>10,000 tokens for a single invocation</w:t>
      </w:r>
      <w:r>
        <w:rPr/>
        <w:t>, against zero. It cannot bootstrap itself either:</w:t>
      </w:r>
    </w:p>
    <w:p>
      <w:pPr>
        <w:pStyle w:val="PreformattedText"/>
        <w:bidi w:val="0"/>
        <w:jc w:val="left"/>
        <w:rPr/>
      </w:pPr>
      <w:r>
        <w:rPr>
          <w:rStyle w:val="SourceText"/>
        </w:rPr>
        <w:t>[-32602] email_not_verified: caller has no verified email and supplied no</w:t>
      </w:r>
    </w:p>
    <w:p>
      <w:pPr>
        <w:pStyle w:val="PreformattedText"/>
        <w:bidi w:val="0"/>
        <w:jc w:val="left"/>
        <w:rPr/>
      </w:pPr>
      <w:r>
        <w:rPr>
          <w:rStyle w:val="SourceText"/>
        </w:rPr>
        <w:t>proving authenticator. Run otp-request + otp-verify first.</w:t>
      </w:r>
    </w:p>
    <w:p>
      <w:pPr>
        <w:pStyle w:val="PreformattedText"/>
        <w:bidi w:val="0"/>
        <w:spacing w:before="0" w:after="283"/>
        <w:jc w:val="left"/>
        <w:rPr/>
      </w:pPr>
      <w:r>
        <w:rPr>
          <w:rStyle w:val="SourceText"/>
        </w:rPr>
        <w:t xml:space="preserve">      </w:t>
      </w:r>
      <w:r>
        <w:rPr>
          <w:rStyle w:val="SourceText"/>
        </w:rPr>
        <w:t>(req bfbcd318-4b38-477a-b2b1-fd5f73747bee)</w:t>
      </w:r>
    </w:p>
    <w:p>
      <w:pPr>
        <w:pStyle w:val="BodyText"/>
        <w:bidi w:val="0"/>
        <w:jc w:val="left"/>
        <w:rPr/>
      </w:pPr>
      <w:r>
        <w:rPr/>
        <w:t xml:space="preserve">And there's no self-service funding path — nine plausible token function names on </w:t>
      </w:r>
      <w:r>
        <w:rPr>
          <w:rStyle w:val="SourceText"/>
        </w:rPr>
        <w:t>tee:tenant/contracts</w:t>
      </w:r>
      <w:r>
        <w:rPr/>
        <w:t xml:space="preserve"> (</w:t>
      </w:r>
      <w:r>
        <w:rPr>
          <w:rStyle w:val="SourceText"/>
        </w:rPr>
        <w:t>token-balance</w:t>
      </w:r>
      <w:r>
        <w:rPr/>
        <w:t xml:space="preserve">, </w:t>
      </w:r>
      <w:r>
        <w:rPr>
          <w:rStyle w:val="SourceText"/>
        </w:rPr>
        <w:t>token-transfer</w:t>
      </w:r>
      <w:r>
        <w:rPr/>
        <w:t xml:space="preserve">, </w:t>
      </w:r>
      <w:r>
        <w:rPr>
          <w:rStyle w:val="SourceText"/>
        </w:rPr>
        <w:t>token-grant</w:t>
      </w:r>
      <w:r>
        <w:rPr/>
        <w:t xml:space="preserve">, </w:t>
      </w:r>
      <w:r>
        <w:rPr>
          <w:rStyle w:val="SourceText"/>
        </w:rPr>
        <w:t>tenant-usage</w:t>
      </w:r>
      <w:r>
        <w:rPr/>
        <w:t>, …) all return absent.</w:t>
      </w:r>
    </w:p>
    <w:p>
      <w:pPr>
        <w:pStyle w:val="BodyText"/>
        <w:bidi w:val="0"/>
        <w:jc w:val="left"/>
        <w:rPr/>
      </w:pPr>
      <w:r>
        <w:rPr/>
        <w:t xml:space="preserve">The sting is that the </w:t>
      </w:r>
      <w:r>
        <w:rPr>
          <w:rStyle w:val="Strong"/>
        </w:rPr>
        <w:t>grant succeeding</w:t>
      </w:r>
      <w:r>
        <w:rPr/>
        <w:t xml:space="preserve"> signals the setup is right; the failure lands one call later, where the natural suspicion is the contract rather than the identity. Leading step 4 with the self-call form, and having </w:t>
      </w:r>
      <w:r>
        <w:rPr>
          <w:rStyle w:val="SourceText"/>
        </w:rPr>
        <w:t>agent-auth-update</w:t>
      </w:r>
      <w:r>
        <w:rPr/>
        <w:t xml:space="preserve"> warn when granting to an unfunded DID, would fix this cheaply.</w:t>
      </w:r>
    </w:p>
    <w:p>
      <w:pPr>
        <w:pStyle w:val="Heading3"/>
        <w:bidi w:val="0"/>
        <w:jc w:val="left"/>
        <w:rPr/>
      </w:pPr>
      <w:r>
        <w:rPr/>
        <w:t>Remaining findings</w:t>
      </w:r>
    </w:p>
    <w:tbl>
      <w:tblPr>
        <w:tblW w:w="9900" w:type="dxa"/>
        <w:jc w:val="left"/>
        <w:tblInd w:w="0" w:type="dxa"/>
        <w:tblLayout w:type="fixed"/>
        <w:tblCellMar>
          <w:top w:w="28" w:type="dxa"/>
          <w:left w:w="28" w:type="dxa"/>
          <w:bottom w:w="28" w:type="dxa"/>
          <w:right w:w="28" w:type="dxa"/>
        </w:tblCellMar>
      </w:tblPr>
      <w:tblGrid>
        <w:gridCol w:w="759"/>
        <w:gridCol w:w="1049"/>
        <w:gridCol w:w="8092"/>
      </w:tblGrid>
      <w:tr>
        <w:trPr>
          <w:tblHeader w:val="true"/>
        </w:trPr>
        <w:tc>
          <w:tcPr>
            <w:tcW w:w="759" w:type="dxa"/>
            <w:tcBorders/>
            <w:vAlign w:val="center"/>
          </w:tcPr>
          <w:p>
            <w:pPr>
              <w:pStyle w:val="TableHeading"/>
              <w:suppressLineNumbers/>
              <w:shd w:fill="EEEEEE" w:val="clear"/>
              <w:bidi w:val="0"/>
              <w:spacing w:before="0" w:after="283"/>
              <w:jc w:val="left"/>
              <w:rPr/>
            </w:pPr>
            <w:r>
              <w:rPr/>
              <w:t>#</w:t>
            </w:r>
          </w:p>
        </w:tc>
        <w:tc>
          <w:tcPr>
            <w:tcW w:w="1049" w:type="dxa"/>
            <w:tcBorders/>
            <w:vAlign w:val="center"/>
          </w:tcPr>
          <w:p>
            <w:pPr>
              <w:pStyle w:val="TableHeading"/>
              <w:suppressLineNumbers/>
              <w:shd w:fill="EEEEEE" w:val="clear"/>
              <w:bidi w:val="0"/>
              <w:spacing w:before="0" w:after="283"/>
              <w:jc w:val="left"/>
              <w:rPr/>
            </w:pPr>
            <w:r>
              <w:rPr/>
              <w:t>Severity</w:t>
            </w:r>
          </w:p>
        </w:tc>
        <w:tc>
          <w:tcPr>
            <w:tcW w:w="8092" w:type="dxa"/>
            <w:tcBorders/>
            <w:vAlign w:val="center"/>
          </w:tcPr>
          <w:p>
            <w:pPr>
              <w:pStyle w:val="TableHeading"/>
              <w:suppressLineNumbers/>
              <w:shd w:fill="EEEEEE" w:val="clear"/>
              <w:bidi w:val="0"/>
              <w:spacing w:before="0" w:after="283"/>
              <w:jc w:val="left"/>
              <w:rPr/>
            </w:pPr>
            <w:r>
              <w:rPr/>
              <w:t>Summary</w:t>
            </w:r>
          </w:p>
        </w:tc>
      </w:tr>
      <w:tr>
        <w:trPr/>
        <w:tc>
          <w:tcPr>
            <w:tcW w:w="759" w:type="dxa"/>
            <w:tcBorders/>
            <w:vAlign w:val="center"/>
          </w:tcPr>
          <w:p>
            <w:pPr>
              <w:pStyle w:val="TableContents"/>
              <w:bidi w:val="0"/>
              <w:spacing w:before="0" w:after="283"/>
              <w:jc w:val="left"/>
              <w:rPr/>
            </w:pPr>
            <w:r>
              <w:rPr/>
              <w:t>BUG-06</w:t>
            </w:r>
          </w:p>
        </w:tc>
        <w:tc>
          <w:tcPr>
            <w:tcW w:w="1049" w:type="dxa"/>
            <w:tcBorders/>
            <w:vAlign w:val="center"/>
          </w:tcPr>
          <w:p>
            <w:pPr>
              <w:pStyle w:val="TableContents"/>
              <w:bidi w:val="0"/>
              <w:spacing w:before="0" w:after="283"/>
              <w:jc w:val="left"/>
              <w:rPr/>
            </w:pPr>
            <w:r>
              <w:rPr/>
              <w:t>Major</w:t>
            </w:r>
          </w:p>
        </w:tc>
        <w:tc>
          <w:tcPr>
            <w:tcW w:w="8092" w:type="dxa"/>
            <w:tcBorders/>
            <w:vAlign w:val="center"/>
          </w:tcPr>
          <w:p>
            <w:pPr>
              <w:pStyle w:val="TableContents"/>
              <w:bidi w:val="0"/>
              <w:spacing w:before="0" w:after="283"/>
              <w:jc w:val="left"/>
              <w:rPr/>
            </w:pPr>
            <w:r>
              <w:rPr/>
              <w:t xml:space="preserve">Two pages disagree on bare tail vs full </w:t>
            </w:r>
            <w:r>
              <w:rPr>
                <w:rStyle w:val="SourceText"/>
              </w:rPr>
              <w:t>z:&lt;tid&gt;:</w:t>
            </w:r>
            <w:r>
              <w:rPr/>
              <w:t xml:space="preserve"> map name (the node settles it: full name)</w:t>
            </w:r>
          </w:p>
        </w:tc>
      </w:tr>
      <w:tr>
        <w:trPr/>
        <w:tc>
          <w:tcPr>
            <w:tcW w:w="759" w:type="dxa"/>
            <w:tcBorders/>
            <w:vAlign w:val="center"/>
          </w:tcPr>
          <w:p>
            <w:pPr>
              <w:pStyle w:val="TableContents"/>
              <w:bidi w:val="0"/>
              <w:spacing w:before="0" w:after="283"/>
              <w:jc w:val="left"/>
              <w:rPr/>
            </w:pPr>
            <w:r>
              <w:rPr/>
              <w:t>BUG-08</w:t>
            </w:r>
          </w:p>
        </w:tc>
        <w:tc>
          <w:tcPr>
            <w:tcW w:w="1049" w:type="dxa"/>
            <w:tcBorders/>
            <w:vAlign w:val="center"/>
          </w:tcPr>
          <w:p>
            <w:pPr>
              <w:pStyle w:val="TableContents"/>
              <w:bidi w:val="0"/>
              <w:spacing w:before="0" w:after="283"/>
              <w:jc w:val="left"/>
              <w:rPr/>
            </w:pPr>
            <w:r>
              <w:rPr>
                <w:rStyle w:val="Strong"/>
              </w:rPr>
              <w:t>Blocker</w:t>
            </w:r>
          </w:p>
        </w:tc>
        <w:tc>
          <w:tcPr>
            <w:tcW w:w="8092" w:type="dxa"/>
            <w:tcBorders/>
            <w:vAlign w:val="center"/>
          </w:tcPr>
          <w:p>
            <w:pPr>
              <w:pStyle w:val="TableContents"/>
              <w:bidi w:val="0"/>
              <w:spacing w:before="0" w:after="283"/>
              <w:jc w:val="left"/>
              <w:rPr/>
            </w:pPr>
            <w:r>
              <w:rPr/>
              <w:t>The three-principal invoke flow cannot be completed with a claimed credential — see below</w:t>
            </w:r>
          </w:p>
        </w:tc>
      </w:tr>
      <w:tr>
        <w:trPr/>
        <w:tc>
          <w:tcPr>
            <w:tcW w:w="759" w:type="dxa"/>
            <w:tcBorders/>
            <w:vAlign w:val="center"/>
          </w:tcPr>
          <w:p>
            <w:pPr>
              <w:pStyle w:val="TableContents"/>
              <w:bidi w:val="0"/>
              <w:spacing w:before="0" w:after="283"/>
              <w:jc w:val="left"/>
              <w:rPr/>
            </w:pPr>
            <w:r>
              <w:rPr/>
              <w:t>BUG-07</w:t>
            </w:r>
          </w:p>
        </w:tc>
        <w:tc>
          <w:tcPr>
            <w:tcW w:w="1049" w:type="dxa"/>
            <w:tcBorders/>
            <w:vAlign w:val="center"/>
          </w:tcPr>
          <w:p>
            <w:pPr>
              <w:pStyle w:val="TableContents"/>
              <w:bidi w:val="0"/>
              <w:spacing w:before="0" w:after="283"/>
              <w:jc w:val="left"/>
              <w:rPr/>
            </w:pPr>
            <w:r>
              <w:rPr/>
              <w:t>Minor</w:t>
            </w:r>
          </w:p>
        </w:tc>
        <w:tc>
          <w:tcPr>
            <w:tcW w:w="8092" w:type="dxa"/>
            <w:tcBorders/>
            <w:vAlign w:val="center"/>
          </w:tcPr>
          <w:p>
            <w:pPr>
              <w:pStyle w:val="TableContents"/>
              <w:bidi w:val="0"/>
              <w:spacing w:before="0" w:after="283"/>
              <w:jc w:val="left"/>
              <w:rPr/>
            </w:pPr>
            <w:r>
              <w:rPr/>
              <w:t>The tenant world's available host interfaces are never listed</w:t>
            </w:r>
          </w:p>
        </w:tc>
      </w:tr>
      <w:tr>
        <w:trPr/>
        <w:tc>
          <w:tcPr>
            <w:tcW w:w="759" w:type="dxa"/>
            <w:tcBorders/>
            <w:vAlign w:val="center"/>
          </w:tcPr>
          <w:p>
            <w:pPr>
              <w:pStyle w:val="TableContents"/>
              <w:bidi w:val="0"/>
              <w:spacing w:before="0" w:after="283"/>
              <w:jc w:val="left"/>
              <w:rPr/>
            </w:pPr>
            <w:r>
              <w:rPr/>
              <w:t>BUG-14</w:t>
            </w:r>
          </w:p>
        </w:tc>
        <w:tc>
          <w:tcPr>
            <w:tcW w:w="1049" w:type="dxa"/>
            <w:tcBorders/>
            <w:vAlign w:val="center"/>
          </w:tcPr>
          <w:p>
            <w:pPr>
              <w:pStyle w:val="TableContents"/>
              <w:bidi w:val="0"/>
              <w:spacing w:before="0" w:after="283"/>
              <w:jc w:val="left"/>
              <w:rPr/>
            </w:pPr>
            <w:r>
              <w:rPr/>
              <w:t>Minor</w:t>
            </w:r>
          </w:p>
        </w:tc>
        <w:tc>
          <w:tcPr>
            <w:tcW w:w="8092" w:type="dxa"/>
            <w:tcBorders/>
            <w:vAlign w:val="center"/>
          </w:tcPr>
          <w:p>
            <w:pPr>
              <w:pStyle w:val="TableContents"/>
              <w:bidi w:val="0"/>
              <w:spacing w:before="0" w:after="283"/>
              <w:jc w:val="left"/>
              <w:rPr/>
            </w:pPr>
            <w:r>
              <w:rPr/>
              <w:t>Two different credential formats are both called "the API key" (</w:t>
            </w:r>
            <w:r>
              <w:rPr>
                <w:rStyle w:val="SourceText"/>
              </w:rPr>
              <w:t>0x…</w:t>
            </w:r>
            <w:r>
              <w:rPr/>
              <w:t xml:space="preserve"> signing key vs </w:t>
            </w:r>
            <w:r>
              <w:rPr>
                <w:rStyle w:val="SourceText"/>
              </w:rPr>
              <w:t>t3n_key_…</w:t>
            </w:r>
            <w:r>
              <w:rPr/>
              <w:t>)</w:t>
            </w:r>
          </w:p>
        </w:tc>
      </w:tr>
      <w:tr>
        <w:trPr/>
        <w:tc>
          <w:tcPr>
            <w:tcW w:w="759" w:type="dxa"/>
            <w:tcBorders/>
            <w:vAlign w:val="center"/>
          </w:tcPr>
          <w:p>
            <w:pPr>
              <w:pStyle w:val="TableContents"/>
              <w:bidi w:val="0"/>
              <w:spacing w:before="0" w:after="283"/>
              <w:jc w:val="left"/>
              <w:rPr/>
            </w:pPr>
            <w:r>
              <w:rPr/>
              <w:t>BUG-04</w:t>
            </w:r>
          </w:p>
        </w:tc>
        <w:tc>
          <w:tcPr>
            <w:tcW w:w="1049" w:type="dxa"/>
            <w:tcBorders/>
            <w:vAlign w:val="center"/>
          </w:tcPr>
          <w:p>
            <w:pPr>
              <w:pStyle w:val="TableContents"/>
              <w:bidi w:val="0"/>
              <w:spacing w:before="0" w:after="283"/>
              <w:jc w:val="left"/>
              <w:rPr/>
            </w:pPr>
            <w:r>
              <w:rPr/>
              <w:t>Minor</w:t>
            </w:r>
          </w:p>
        </w:tc>
        <w:tc>
          <w:tcPr>
            <w:tcW w:w="8092" w:type="dxa"/>
            <w:tcBorders/>
            <w:vAlign w:val="center"/>
          </w:tcPr>
          <w:p>
            <w:pPr>
              <w:pStyle w:val="TableContents"/>
              <w:bidi w:val="0"/>
              <w:spacing w:before="0" w:after="283"/>
              <w:jc w:val="left"/>
              <w:rPr/>
            </w:pPr>
            <w:r>
              <w:rPr>
                <w:rStyle w:val="SourceText"/>
              </w:rPr>
              <w:t>idx:_tenants</w:t>
            </w:r>
            <w:r>
              <w:rPr/>
              <w:t xml:space="preserve"> admission is referenced but never explained — I initially thought this was the blocker; testing proved it is automatic, and I've recorded that correction</w:t>
            </w:r>
          </w:p>
        </w:tc>
      </w:tr>
      <w:tr>
        <w:trPr/>
        <w:tc>
          <w:tcPr>
            <w:tcW w:w="759" w:type="dxa"/>
            <w:tcBorders/>
            <w:vAlign w:val="center"/>
          </w:tcPr>
          <w:p>
            <w:pPr>
              <w:pStyle w:val="TableContents"/>
              <w:bidi w:val="0"/>
              <w:spacing w:before="0" w:after="283"/>
              <w:jc w:val="left"/>
              <w:rPr/>
            </w:pPr>
            <w:r>
              <w:rPr/>
              <w:t>BUG-05</w:t>
            </w:r>
          </w:p>
        </w:tc>
        <w:tc>
          <w:tcPr>
            <w:tcW w:w="1049" w:type="dxa"/>
            <w:tcBorders/>
            <w:vAlign w:val="center"/>
          </w:tcPr>
          <w:p>
            <w:pPr>
              <w:pStyle w:val="TableContents"/>
              <w:bidi w:val="0"/>
              <w:spacing w:before="0" w:after="283"/>
              <w:jc w:val="left"/>
              <w:rPr/>
            </w:pPr>
            <w:r>
              <w:rPr/>
              <w:t>Minor</w:t>
            </w:r>
          </w:p>
        </w:tc>
        <w:tc>
          <w:tcPr>
            <w:tcW w:w="8092" w:type="dxa"/>
            <w:tcBorders/>
            <w:vAlign w:val="center"/>
          </w:tcPr>
          <w:p>
            <w:pPr>
              <w:pStyle w:val="TableContents"/>
              <w:bidi w:val="0"/>
              <w:spacing w:before="0" w:after="283"/>
              <w:jc w:val="left"/>
              <w:rPr/>
            </w:pPr>
            <w:r>
              <w:rPr>
                <w:rStyle w:val="SourceText"/>
              </w:rPr>
              <w:t>npm install</w:t>
            </w:r>
            <w:r>
              <w:rPr/>
              <w:t xml:space="preserve"> EBADENGINE warning, no documented Node range (it is benign; the SDK works on Node 20)</w:t>
            </w:r>
          </w:p>
        </w:tc>
      </w:tr>
    </w:tbl>
    <w:p>
      <w:pPr>
        <w:pStyle w:val="HorizontalLine"/>
        <w:bidi w:val="0"/>
        <w:jc w:val="left"/>
        <w:rPr/>
      </w:pPr>
      <w:r>
        <w:rPr/>
      </w:r>
    </w:p>
    <w:p>
      <w:pPr>
        <w:pStyle w:val="Heading2"/>
        <w:bidi w:val="0"/>
        <w:jc w:val="left"/>
        <w:rPr/>
      </w:pPr>
      <w:r>
        <w:rPr/>
        <w:t>Part 5 — Going beyond: an original TEE contract</w:t>
      </w:r>
    </w:p>
    <w:p>
      <w:pPr>
        <w:pStyle w:val="BodyText"/>
        <w:bidi w:val="0"/>
        <w:jc w:val="left"/>
        <w:rPr/>
      </w:pPr>
      <w:r>
        <w:rPr/>
        <w:t xml:space="preserve">The reference contract shows PII-safe </w:t>
      </w:r>
      <w:r>
        <w:rPr>
          <w:rStyle w:val="Emphasis"/>
        </w:rPr>
        <w:t>booking</w:t>
      </w:r>
      <w:r>
        <w:rPr/>
        <w:t xml:space="preserve">. I wanted to show something harder to build anywhere else: </w:t>
      </w:r>
      <w:r>
        <w:rPr>
          <w:rStyle w:val="Strong"/>
        </w:rPr>
        <w:t>answering a question about a user's PII and keeping only the answer.</w:t>
      </w:r>
    </w:p>
    <w:p>
      <w:pPr>
        <w:pStyle w:val="BodyText"/>
        <w:bidi w:val="0"/>
        <w:jc w:val="left"/>
        <w:rPr/>
      </w:pPr>
      <w:r>
        <w:rPr/>
        <w:t>The problem is everywhere. To gate anything on "is this person over 18 and in a permitted country?", the usual approach collects a date of birth and an address — so every tenant that needs the answer ends up storing regulated data it never wanted, and re-collects it on every check.</w:t>
      </w:r>
    </w:p>
    <w:p>
      <w:pPr>
        <w:pStyle w:val="BodyText"/>
        <w:bidi w:val="0"/>
        <w:jc w:val="left"/>
        <w:rPr/>
      </w:pPr>
      <w:r>
        <w:rPr>
          <w:rStyle w:val="SourceText"/>
        </w:rPr>
        <w:t>z-tenant-eligibility</w:t>
      </w:r>
      <w:r>
        <w:rPr/>
        <w:t xml:space="preserve"> inverts that:</w:t>
      </w:r>
    </w:p>
    <w:p>
      <w:pPr>
        <w:pStyle w:val="BodyText"/>
        <w:numPr>
          <w:ilvl w:val="0"/>
          <w:numId w:val="2"/>
        </w:numPr>
        <w:tabs>
          <w:tab w:val="clear" w:pos="1134"/>
          <w:tab w:val="left" w:pos="709" w:leader="none"/>
        </w:tabs>
        <w:bidi w:val="0"/>
        <w:spacing w:before="0" w:after="0"/>
        <w:ind w:hanging="283" w:left="709"/>
        <w:jc w:val="left"/>
        <w:rPr/>
      </w:pPr>
      <w:r>
        <w:rPr>
          <w:rStyle w:val="Strong"/>
        </w:rPr>
        <w:t>The contract never sees the PII.</w:t>
      </w:r>
      <w:r>
        <w:rPr/>
        <w:t xml:space="preserve"> The predicate is evaluated by an external verifier reached via </w:t>
      </w:r>
      <w:r>
        <w:rPr>
          <w:rStyle w:val="SourceText"/>
        </w:rPr>
        <w:t>http-with-placeholders</w:t>
      </w:r>
      <w:r>
        <w:rPr/>
        <w:t xml:space="preserve">. The body carries </w:t>
      </w:r>
      <w:r>
        <w:rPr>
          <w:rStyle w:val="SourceText"/>
        </w:rPr>
        <w:t>{{profile.date_of_birth}}</w:t>
      </w:r>
      <w:r>
        <w:rPr/>
        <w:t xml:space="preserve"> and </w:t>
      </w:r>
      <w:r>
        <w:rPr>
          <w:rStyle w:val="SourceText"/>
        </w:rPr>
        <w:t>{{profile.residence_country}}</w:t>
      </w:r>
      <w:r>
        <w:rPr/>
        <w:t xml:space="preserve"> markers, still literal text inside the WASM; the host substitutes them on its own stack after the contract has composed the request. </w:t>
      </w:r>
    </w:p>
    <w:p>
      <w:pPr>
        <w:pStyle w:val="BodyText"/>
        <w:numPr>
          <w:ilvl w:val="0"/>
          <w:numId w:val="2"/>
        </w:numPr>
        <w:tabs>
          <w:tab w:val="clear" w:pos="1134"/>
          <w:tab w:val="left" w:pos="709" w:leader="none"/>
        </w:tabs>
        <w:bidi w:val="0"/>
        <w:spacing w:before="0" w:after="0"/>
        <w:ind w:hanging="283" w:left="709"/>
        <w:jc w:val="left"/>
        <w:rPr/>
      </w:pPr>
      <w:r>
        <w:rPr>
          <w:rStyle w:val="Strong"/>
        </w:rPr>
        <w:t>The caller never sees it either.</w:t>
      </w:r>
      <w:r>
        <w:rPr/>
        <w:t xml:space="preserve"> Only </w:t>
      </w:r>
      <w:r>
        <w:rPr>
          <w:rStyle w:val="SourceText"/>
        </w:rPr>
        <w:t>{ eligible, reason_code, issued_at, expires_at }</w:t>
      </w:r>
      <w:r>
        <w:rPr/>
        <w:t xml:space="preserve"> crosses the WIT boundary. Reason codes are coarse by design, since a precise reason leaks a bit of the profile. </w:t>
      </w:r>
    </w:p>
    <w:p>
      <w:pPr>
        <w:pStyle w:val="BodyText"/>
        <w:numPr>
          <w:ilvl w:val="0"/>
          <w:numId w:val="2"/>
        </w:numPr>
        <w:tabs>
          <w:tab w:val="clear" w:pos="1134"/>
          <w:tab w:val="left" w:pos="709" w:leader="none"/>
        </w:tabs>
        <w:bidi w:val="0"/>
        <w:spacing w:before="0" w:after="0"/>
        <w:ind w:hanging="283" w:left="709"/>
        <w:jc w:val="left"/>
        <w:rPr/>
      </w:pPr>
      <w:r>
        <w:rPr>
          <w:rStyle w:val="Strong"/>
        </w:rPr>
        <w:t>The answer is reusable.</w:t>
      </w:r>
      <w:r>
        <w:rPr/>
        <w:t xml:space="preserve"> Cached per policy per user — a second call inside the window returns </w:t>
      </w:r>
      <w:r>
        <w:rPr>
          <w:rStyle w:val="SourceText"/>
        </w:rPr>
        <w:t>reused: true</w:t>
      </w:r>
      <w:r>
        <w:rPr/>
        <w:t xml:space="preserve"> and makes </w:t>
      </w:r>
      <w:r>
        <w:rPr>
          <w:rStyle w:val="Strong"/>
        </w:rPr>
        <w:t>no outbound call at all</w:t>
      </w:r>
      <w:r>
        <w:rPr/>
        <w:t xml:space="preserve">, so the profile is read once per window rather than once per check. </w:t>
      </w:r>
    </w:p>
    <w:p>
      <w:pPr>
        <w:pStyle w:val="BodyText"/>
        <w:numPr>
          <w:ilvl w:val="0"/>
          <w:numId w:val="2"/>
        </w:numPr>
        <w:tabs>
          <w:tab w:val="clear" w:pos="1134"/>
          <w:tab w:val="left" w:pos="709" w:leader="none"/>
        </w:tabs>
        <w:bidi w:val="0"/>
        <w:spacing w:before="0" w:after="0"/>
        <w:ind w:hanging="283" w:left="709"/>
        <w:jc w:val="left"/>
        <w:rPr/>
      </w:pPr>
      <w:r>
        <w:rPr>
          <w:rStyle w:val="Strong"/>
        </w:rPr>
        <w:t>The subject cannot be forged.</w:t>
      </w:r>
      <w:r>
        <w:rPr/>
        <w:t xml:space="preserve"> Taken from </w:t>
      </w:r>
      <w:r>
        <w:rPr>
          <w:rStyle w:val="SourceText"/>
        </w:rPr>
        <w:t>tenant-context.calling-user-did()</w:t>
      </w:r>
      <w:r>
        <w:rPr/>
        <w:t xml:space="preserve">, never from contract input. </w:t>
      </w:r>
    </w:p>
    <w:p>
      <w:pPr>
        <w:pStyle w:val="BodyText"/>
        <w:numPr>
          <w:ilvl w:val="0"/>
          <w:numId w:val="2"/>
        </w:numPr>
        <w:tabs>
          <w:tab w:val="clear" w:pos="1134"/>
          <w:tab w:val="left" w:pos="709" w:leader="none"/>
        </w:tabs>
        <w:bidi w:val="0"/>
        <w:ind w:hanging="283" w:left="709"/>
        <w:jc w:val="left"/>
        <w:rPr/>
      </w:pPr>
      <w:r>
        <w:rPr>
          <w:rStyle w:val="Strong"/>
        </w:rPr>
        <w:t>It is tamper-evident.</w:t>
      </w:r>
      <w:r>
        <w:rPr/>
        <w:t xml:space="preserve"> </w:t>
      </w:r>
      <w:r>
        <w:rPr>
          <w:rStyle w:val="SourceText"/>
        </w:rPr>
        <w:t>kv-store.set-claims-digest</w:t>
      </w:r>
      <w:r>
        <w:rPr/>
        <w:t xml:space="preserve"> binds the attestation's SHA-256 into the transaction's Merkle leaf, so a holder can prove from the ledger receipt that this cluster issued exactly this record. </w:t>
      </w:r>
    </w:p>
    <w:p>
      <w:pPr>
        <w:pStyle w:val="Heading3"/>
        <w:bidi w:val="0"/>
        <w:jc w:val="left"/>
        <w:rPr/>
      </w:pPr>
      <w:r>
        <w:rPr/>
        <w:t>It works, live on testnet</w:t>
      </w:r>
    </w:p>
    <w:p>
      <w:pPr>
        <w:pStyle w:val="PreformattedText"/>
        <w:bidi w:val="0"/>
        <w:jc w:val="left"/>
        <w:rPr/>
      </w:pPr>
      <w:r>
        <w:rPr>
          <w:rStyle w:val="SourceText"/>
        </w:rPr>
        <w:t>// first call — resolves PII host-side, calls the verifier, issues an attestation</w:t>
      </w:r>
    </w:p>
    <w:p>
      <w:pPr>
        <w:pStyle w:val="PreformattedText"/>
        <w:bidi w:val="0"/>
        <w:jc w:val="left"/>
        <w:rPr/>
      </w:pPr>
      <w:r>
        <w:rPr>
          <w:rStyle w:val="SourceText"/>
        </w:rPr>
        <w:t>{"policy_id":"adult-eu","subject":"f39cbc5a…","eligible":true,"reason_code":"ok",</w:t>
      </w:r>
    </w:p>
    <w:p>
      <w:pPr>
        <w:pStyle w:val="PreformattedText"/>
        <w:bidi w:val="0"/>
        <w:jc w:val="left"/>
        <w:rPr/>
      </w:pPr>
      <w:r>
        <w:rPr>
          <w:rStyle w:val="SourceText"/>
        </w:rPr>
        <w:t xml:space="preserve"> </w:t>
      </w:r>
      <w:r>
        <w:rPr>
          <w:rStyle w:val="SourceText"/>
        </w:rPr>
        <w:t>"digest":"51fc6b1b5d75923e…","reused":false}</w:t>
      </w:r>
    </w:p>
    <w:p>
      <w:pPr>
        <w:pStyle w:val="PreformattedText"/>
        <w:bidi w:val="0"/>
        <w:jc w:val="left"/>
        <w:rPr/>
      </w:pPr>
      <w:r>
        <w:rPr/>
      </w:r>
    </w:p>
    <w:p>
      <w:pPr>
        <w:pStyle w:val="PreformattedText"/>
        <w:bidi w:val="0"/>
        <w:jc w:val="left"/>
        <w:rPr/>
      </w:pPr>
      <w:r>
        <w:rPr>
          <w:rStyle w:val="SourceText"/>
        </w:rPr>
        <w:t>// second call — same digest, no outbound request, profile not read</w:t>
      </w:r>
    </w:p>
    <w:p>
      <w:pPr>
        <w:pStyle w:val="PreformattedText"/>
        <w:bidi w:val="0"/>
        <w:jc w:val="left"/>
        <w:rPr/>
      </w:pPr>
      <w:r>
        <w:rPr>
          <w:rStyle w:val="SourceText"/>
        </w:rPr>
        <w:t>{… "digest":"51fc6b1b5d75923e…","reused":true}</w:t>
      </w:r>
    </w:p>
    <w:p>
      <w:pPr>
        <w:pStyle w:val="PreformattedText"/>
        <w:bidi w:val="0"/>
        <w:jc w:val="left"/>
        <w:rPr/>
      </w:pPr>
      <w:r>
        <w:rPr/>
      </w:r>
    </w:p>
    <w:p>
      <w:pPr>
        <w:pStyle w:val="PreformattedText"/>
        <w:bidi w:val="0"/>
        <w:jc w:val="left"/>
        <w:rPr/>
      </w:pPr>
      <w:r>
        <w:rPr>
          <w:rStyle w:val="SourceText"/>
        </w:rPr>
        <w:t>// verify genuine, then tampered</w:t>
      </w:r>
    </w:p>
    <w:p>
      <w:pPr>
        <w:pStyle w:val="PreformattedText"/>
        <w:bidi w:val="0"/>
        <w:jc w:val="left"/>
        <w:rPr/>
      </w:pPr>
      <w:r>
        <w:rPr>
          <w:rStyle w:val="SourceText"/>
        </w:rPr>
        <w:t>{"valid":true,"reason_code":"ok","expires_at":1789550459}</w:t>
      </w:r>
    </w:p>
    <w:p>
      <w:pPr>
        <w:pStyle w:val="PreformattedText"/>
        <w:bidi w:val="0"/>
        <w:spacing w:before="0" w:after="283"/>
        <w:jc w:val="left"/>
        <w:rPr/>
      </w:pPr>
      <w:r>
        <w:rPr>
          <w:rStyle w:val="SourceText"/>
        </w:rPr>
        <w:t>{"valid":false,"reason_code":"digest_mismatch","expires_at":1789550459}</w:t>
      </w:r>
    </w:p>
    <w:p>
      <w:pPr>
        <w:pStyle w:val="Heading3"/>
        <w:bidi w:val="0"/>
        <w:jc w:val="left"/>
        <w:rPr/>
      </w:pPr>
      <w:r>
        <w:rPr/>
        <w:t>Proving the PII really is resolved host-side</w:t>
      </w:r>
    </w:p>
    <w:p>
      <w:pPr>
        <w:pStyle w:val="BodyText"/>
        <w:bidi w:val="0"/>
        <w:jc w:val="left"/>
        <w:rPr/>
      </w:pPr>
      <w:r>
        <w:rPr/>
        <w:t xml:space="preserve">A positive result alone proves little — a verifier ignoring its input would also say "eligible". So the verifier returns </w:t>
      </w:r>
      <w:r>
        <w:rPr>
          <w:rStyle w:val="SourceText"/>
        </w:rPr>
        <w:t>profile_incomplete</w:t>
      </w:r>
      <w:r>
        <w:rPr/>
        <w:t xml:space="preserve"> if it ever sees a literal </w:t>
      </w:r>
      <w:r>
        <w:rPr>
          <w:rStyle w:val="SourceText"/>
        </w:rPr>
        <w:t>{{</w:t>
      </w:r>
      <w:r>
        <w:rPr/>
        <w:t xml:space="preserve"> marker, and I seeded a second policy whose </w:t>
      </w:r>
      <w:r>
        <w:rPr>
          <w:rStyle w:val="SourceText"/>
        </w:rPr>
        <w:t>allowed_countries</w:t>
      </w:r>
      <w:r>
        <w:rPr/>
        <w:t xml:space="preserve"> </w:t>
      </w:r>
      <w:r>
        <w:rPr>
          <w:rStyle w:val="Strong"/>
        </w:rPr>
        <w:t>excludes</w:t>
      </w:r>
      <w:r>
        <w:rPr/>
        <w:t xml:space="preserve"> the profile's real country:</w:t>
      </w:r>
    </w:p>
    <w:p>
      <w:pPr>
        <w:pStyle w:val="PreformattedText"/>
        <w:bidi w:val="0"/>
        <w:jc w:val="left"/>
        <w:rPr/>
      </w:pPr>
      <w:r>
        <w:rPr>
          <w:rStyle w:val="SourceText"/>
        </w:rPr>
        <w:t>seeded policy 'eu-only' allowing DE, FR (profile is NG)</w:t>
      </w:r>
    </w:p>
    <w:p>
      <w:pPr>
        <w:pStyle w:val="PreformattedText"/>
        <w:bidi w:val="0"/>
        <w:spacing w:before="0" w:after="283"/>
        <w:jc w:val="left"/>
        <w:rPr/>
      </w:pPr>
      <w:r>
        <w:rPr>
          <w:rStyle w:val="SourceText"/>
        </w:rPr>
        <w:t xml:space="preserve">  </w:t>
      </w:r>
      <w:r>
        <w:rPr>
          <w:rStyle w:val="SourceText"/>
        </w:rPr>
        <w:t>-&gt; {"policy_id":"eu-only","eligible":false,"reason_code":"country_not_permitted", …}</w:t>
      </w:r>
    </w:p>
    <w:p>
      <w:pPr>
        <w:pStyle w:val="BodyText"/>
        <w:bidi w:val="0"/>
        <w:jc w:val="left"/>
        <w:rPr/>
      </w:pPr>
      <w:r>
        <w:rPr/>
        <w:t xml:space="preserve">The verdict flipped on a value the contract never held. The three outcomes are distinguishable — </w:t>
      </w:r>
      <w:r>
        <w:rPr>
          <w:rStyle w:val="SourceText"/>
        </w:rPr>
        <w:t>ok</w:t>
      </w:r>
      <w:r>
        <w:rPr/>
        <w:t xml:space="preserve">, </w:t>
      </w:r>
      <w:r>
        <w:rPr>
          <w:rStyle w:val="SourceText"/>
        </w:rPr>
        <w:t>country_not_permitted</w:t>
      </w:r>
      <w:r>
        <w:rPr/>
        <w:t xml:space="preserve">, </w:t>
      </w:r>
      <w:r>
        <w:rPr>
          <w:rStyle w:val="SourceText"/>
        </w:rPr>
        <w:t>profile_incomplete</w:t>
      </w:r>
      <w:r>
        <w:rPr/>
        <w:t xml:space="preserve"> — and we got the one that proves resolution happened.</w:t>
      </w:r>
    </w:p>
    <w:p>
      <w:pPr>
        <w:pStyle w:val="Heading3"/>
        <w:bidi w:val="0"/>
        <w:jc w:val="left"/>
        <w:rPr/>
      </w:pPr>
      <w:r>
        <w:rPr/>
        <w:t>The verifier</w:t>
      </w:r>
    </w:p>
    <w:p>
      <w:pPr>
        <w:pStyle w:val="BodyText"/>
        <w:bidi w:val="0"/>
        <w:jc w:val="left"/>
        <w:rPr/>
      </w:pPr>
      <w:r>
        <w:rPr/>
        <w:t xml:space="preserve">Deployed at </w:t>
      </w:r>
      <w:hyperlink r:id="rId11">
        <w:r>
          <w:rPr>
            <w:rStyle w:val="Hyperlink"/>
          </w:rPr>
          <w:t>https://verifier-jade.vercel.app/api/eligibility</w:t>
        </w:r>
      </w:hyperlink>
      <w:r>
        <w:rPr/>
        <w:t>. It is deliberately the only component that ever holds plaintext PII, and only for one request: it never logs a resolved value, never echoes one back, and persists nothing. Age is computed calendar-correctly rather than by dividing days by 365.25, because a minimum-age check is a cliff and the naive version is wrong near a birthday.</w:t>
      </w:r>
    </w:p>
    <w:p>
      <w:pPr>
        <w:pStyle w:val="Heading3"/>
        <w:bidi w:val="0"/>
        <w:jc w:val="left"/>
        <w:rPr/>
      </w:pPr>
      <w:r>
        <w:rPr/>
        <w:t>Where it could go</w:t>
      </w:r>
    </w:p>
    <w:p>
      <w:pPr>
        <w:pStyle w:val="BodyText"/>
        <w:bidi w:val="0"/>
        <w:jc w:val="left"/>
        <w:rPr/>
      </w:pPr>
      <w:r>
        <w:rPr/>
        <w:t xml:space="preserve">The natural next step is </w:t>
      </w:r>
      <w:r>
        <w:rPr>
          <w:rStyle w:val="SourceText"/>
        </w:rPr>
        <w:t>signing::sign</w:t>
      </w:r>
      <w:r>
        <w:rPr/>
        <w:t xml:space="preserve">, turning the attestation into a portable credential a </w:t>
      </w:r>
      <w:r>
        <w:rPr>
          <w:rStyle w:val="Emphasis"/>
        </w:rPr>
        <w:t>different</w:t>
      </w:r>
      <w:r>
        <w:rPr/>
        <w:t xml:space="preserve"> tenant could verify without querying this one — the reusable-verified-data story T3N is built for. I didn't, only because the docs never state which host interfaces a tenant world provides (BUG-07), so importing it is an untestable guess.</w:t>
      </w:r>
    </w:p>
    <w:p>
      <w:pPr>
        <w:pStyle w:val="HorizontalLine"/>
        <w:bidi w:val="0"/>
        <w:jc w:val="left"/>
        <w:rPr/>
      </w:pPr>
      <w:r>
        <w:rPr/>
      </w:r>
    </w:p>
    <w:p>
      <w:pPr>
        <w:pStyle w:val="Heading2"/>
        <w:bidi w:val="0"/>
        <w:jc w:val="left"/>
        <w:rPr/>
      </w:pPr>
      <w:r>
        <w:rPr/>
        <w:t>Testing</w:t>
      </w:r>
    </w:p>
    <w:p>
      <w:pPr>
        <w:pStyle w:val="BodyText"/>
        <w:bidi w:val="0"/>
        <w:jc w:val="left"/>
        <w:rPr/>
      </w:pPr>
      <w:r>
        <w:rPr/>
        <w:t>38 tests, none requiring a live host:</w:t>
      </w:r>
    </w:p>
    <w:p>
      <w:pPr>
        <w:pStyle w:val="BodyText"/>
        <w:numPr>
          <w:ilvl w:val="0"/>
          <w:numId w:val="3"/>
        </w:numPr>
        <w:tabs>
          <w:tab w:val="clear" w:pos="1134"/>
          <w:tab w:val="left" w:pos="709" w:leader="none"/>
        </w:tabs>
        <w:bidi w:val="0"/>
        <w:spacing w:before="0" w:after="0"/>
        <w:ind w:hanging="283" w:left="709"/>
        <w:jc w:val="left"/>
        <w:rPr/>
      </w:pPr>
      <w:r>
        <w:rPr>
          <w:rStyle w:val="Strong"/>
        </w:rPr>
        <w:t>23 Rust</w:t>
      </w:r>
      <w:r>
        <w:rPr/>
        <w:t xml:space="preserve"> — digest stability, PII-absence assertions on the returned attestation, inline-PII rejection, KV key ambiguity, constant-time digest comparison, and that </w:t>
      </w:r>
      <w:r>
        <w:rPr>
          <w:rStyle w:val="SourceText"/>
        </w:rPr>
        <w:t>{{profile.*}}</w:t>
      </w:r>
      <w:r>
        <w:rPr/>
        <w:t xml:space="preserve"> markers survive serialization unresolved. </w:t>
      </w:r>
    </w:p>
    <w:p>
      <w:pPr>
        <w:pStyle w:val="BodyText"/>
        <w:numPr>
          <w:ilvl w:val="0"/>
          <w:numId w:val="3"/>
        </w:numPr>
        <w:tabs>
          <w:tab w:val="clear" w:pos="1134"/>
          <w:tab w:val="left" w:pos="709" w:leader="none"/>
        </w:tabs>
        <w:bidi w:val="0"/>
        <w:ind w:hanging="283" w:left="709"/>
        <w:jc w:val="left"/>
        <w:rPr/>
      </w:pPr>
      <w:r>
        <w:rPr>
          <w:rStyle w:val="Strong"/>
        </w:rPr>
        <w:t>15 TypeScript</w:t>
      </w:r>
      <w:r>
        <w:rPr/>
        <w:t xml:space="preserve"> — verifier logic, with the age boundary tested on the exact birthday and the day either side. </w:t>
      </w:r>
    </w:p>
    <w:p>
      <w:pPr>
        <w:pStyle w:val="PreformattedText"/>
        <w:bidi w:val="0"/>
        <w:jc w:val="left"/>
        <w:rPr/>
      </w:pPr>
      <w:r>
        <w:rPr>
          <w:rStyle w:val="SourceText"/>
        </w:rPr>
        <w:t>(cd z-tenant-eligibility &amp;&amp; cargo test --target x86_64-unknown-linux-gnu)</w:t>
      </w:r>
    </w:p>
    <w:p>
      <w:pPr>
        <w:pStyle w:val="PreformattedText"/>
        <w:bidi w:val="0"/>
        <w:spacing w:before="0" w:after="283"/>
        <w:jc w:val="left"/>
        <w:rPr/>
      </w:pPr>
      <w:r>
        <w:rPr>
          <w:rStyle w:val="SourceText"/>
        </w:rPr>
        <w:t>npx tsx verifier/test.ts</w:t>
      </w:r>
    </w:p>
    <w:p>
      <w:pPr>
        <w:pStyle w:val="HorizontalLine"/>
        <w:bidi w:val="0"/>
        <w:jc w:val="left"/>
        <w:rPr/>
      </w:pPr>
      <w:r>
        <w:rPr/>
      </w:r>
    </w:p>
    <w:p>
      <w:pPr>
        <w:pStyle w:val="Heading2"/>
        <w:bidi w:val="0"/>
        <w:jc w:val="left"/>
        <w:rPr/>
      </w:pPr>
      <w:r>
        <w:rPr/>
        <w:t>Environment</w:t>
      </w:r>
    </w:p>
    <w:tbl>
      <w:tblPr>
        <w:tblW w:w="6121" w:type="dxa"/>
        <w:jc w:val="left"/>
        <w:tblInd w:w="0" w:type="dxa"/>
        <w:tblLayout w:type="fixed"/>
        <w:tblCellMar>
          <w:top w:w="28" w:type="dxa"/>
          <w:left w:w="28" w:type="dxa"/>
          <w:bottom w:w="28" w:type="dxa"/>
          <w:right w:w="28" w:type="dxa"/>
        </w:tblCellMar>
      </w:tblPr>
      <w:tblGrid>
        <w:gridCol w:w="2287"/>
        <w:gridCol w:w="3834"/>
      </w:tblGrid>
      <w:tr>
        <w:trPr>
          <w:tblHeader w:val="true"/>
        </w:trPr>
        <w:tc>
          <w:tcPr>
            <w:tcW w:w="2287" w:type="dxa"/>
            <w:tcBorders/>
            <w:vAlign w:val="center"/>
          </w:tcPr>
          <w:p>
            <w:pPr>
              <w:pStyle w:val="TableHeading"/>
              <w:bidi w:val="0"/>
              <w:spacing w:before="0" w:after="283"/>
              <w:jc w:val="left"/>
              <w:rPr>
                <w:sz w:val="4"/>
                <w:szCs w:val="4"/>
              </w:rPr>
            </w:pPr>
            <w:r>
              <w:rPr>
                <w:sz w:val="4"/>
                <w:szCs w:val="4"/>
              </w:rPr>
            </w:r>
          </w:p>
        </w:tc>
        <w:tc>
          <w:tcPr>
            <w:tcW w:w="3834" w:type="dxa"/>
            <w:tcBorders/>
            <w:vAlign w:val="center"/>
          </w:tcPr>
          <w:p>
            <w:pPr>
              <w:pStyle w:val="TableHeading"/>
              <w:bidi w:val="0"/>
              <w:spacing w:before="0" w:after="283"/>
              <w:jc w:val="left"/>
              <w:rPr>
                <w:sz w:val="4"/>
                <w:szCs w:val="4"/>
              </w:rPr>
            </w:pPr>
            <w:r>
              <w:rPr>
                <w:sz w:val="4"/>
                <w:szCs w:val="4"/>
              </w:rPr>
            </w:r>
          </w:p>
        </w:tc>
      </w:tr>
      <w:tr>
        <w:trPr/>
        <w:tc>
          <w:tcPr>
            <w:tcW w:w="2287" w:type="dxa"/>
            <w:tcBorders/>
            <w:vAlign w:val="center"/>
          </w:tcPr>
          <w:p>
            <w:pPr>
              <w:pStyle w:val="TableContents"/>
              <w:bidi w:val="0"/>
              <w:spacing w:before="0" w:after="283"/>
              <w:jc w:val="left"/>
              <w:rPr/>
            </w:pPr>
            <w:r>
              <w:rPr/>
              <w:t>OS</w:t>
            </w:r>
          </w:p>
        </w:tc>
        <w:tc>
          <w:tcPr>
            <w:tcW w:w="3834" w:type="dxa"/>
            <w:tcBorders/>
            <w:vAlign w:val="center"/>
          </w:tcPr>
          <w:p>
            <w:pPr>
              <w:pStyle w:val="TableContents"/>
              <w:bidi w:val="0"/>
              <w:spacing w:before="0" w:after="283"/>
              <w:jc w:val="left"/>
              <w:rPr/>
            </w:pPr>
            <w:r>
              <w:rPr/>
              <w:t>Parrot / Debian 13, Linux 6.17.13</w:t>
            </w:r>
          </w:p>
        </w:tc>
      </w:tr>
      <w:tr>
        <w:trPr/>
        <w:tc>
          <w:tcPr>
            <w:tcW w:w="2287" w:type="dxa"/>
            <w:tcBorders/>
            <w:vAlign w:val="center"/>
          </w:tcPr>
          <w:p>
            <w:pPr>
              <w:pStyle w:val="TableContents"/>
              <w:bidi w:val="0"/>
              <w:spacing w:before="0" w:after="283"/>
              <w:jc w:val="left"/>
              <w:rPr/>
            </w:pPr>
            <w:r>
              <w:rPr/>
              <w:t>Node</w:t>
            </w:r>
          </w:p>
        </w:tc>
        <w:tc>
          <w:tcPr>
            <w:tcW w:w="3834" w:type="dxa"/>
            <w:tcBorders/>
            <w:vAlign w:val="center"/>
          </w:tcPr>
          <w:p>
            <w:pPr>
              <w:pStyle w:val="TableContents"/>
              <w:bidi w:val="0"/>
              <w:spacing w:before="0" w:after="283"/>
              <w:jc w:val="left"/>
              <w:rPr/>
            </w:pPr>
            <w:r>
              <w:rPr/>
              <w:t>v20.19.2, npm 9.2.0</w:t>
            </w:r>
          </w:p>
        </w:tc>
      </w:tr>
      <w:tr>
        <w:trPr/>
        <w:tc>
          <w:tcPr>
            <w:tcW w:w="2287" w:type="dxa"/>
            <w:tcBorders/>
            <w:vAlign w:val="center"/>
          </w:tcPr>
          <w:p>
            <w:pPr>
              <w:pStyle w:val="TableContents"/>
              <w:bidi w:val="0"/>
              <w:spacing w:before="0" w:after="283"/>
              <w:jc w:val="left"/>
              <w:rPr/>
            </w:pPr>
            <w:r>
              <w:rPr/>
              <w:t>Rust</w:t>
            </w:r>
          </w:p>
        </w:tc>
        <w:tc>
          <w:tcPr>
            <w:tcW w:w="3834" w:type="dxa"/>
            <w:tcBorders/>
            <w:vAlign w:val="center"/>
          </w:tcPr>
          <w:p>
            <w:pPr>
              <w:pStyle w:val="TableContents"/>
              <w:bidi w:val="0"/>
              <w:spacing w:before="0" w:after="283"/>
              <w:jc w:val="left"/>
              <w:rPr/>
            </w:pPr>
            <w:r>
              <w:rPr/>
              <w:t xml:space="preserve">rustc 1.97.1, target </w:t>
            </w:r>
            <w:r>
              <w:rPr>
                <w:rStyle w:val="SourceText"/>
              </w:rPr>
              <w:t>wasm32-wasip2</w:t>
            </w:r>
          </w:p>
        </w:tc>
      </w:tr>
      <w:tr>
        <w:trPr/>
        <w:tc>
          <w:tcPr>
            <w:tcW w:w="2287" w:type="dxa"/>
            <w:tcBorders/>
            <w:vAlign w:val="center"/>
          </w:tcPr>
          <w:p>
            <w:pPr>
              <w:pStyle w:val="TableContents"/>
              <w:bidi w:val="0"/>
              <w:spacing w:before="0" w:after="283"/>
              <w:jc w:val="left"/>
              <w:rPr/>
            </w:pPr>
            <w:r>
              <w:rPr/>
              <w:t>SDK</w:t>
            </w:r>
          </w:p>
        </w:tc>
        <w:tc>
          <w:tcPr>
            <w:tcW w:w="3834" w:type="dxa"/>
            <w:tcBorders/>
            <w:vAlign w:val="center"/>
          </w:tcPr>
          <w:p>
            <w:pPr>
              <w:pStyle w:val="TableContents"/>
              <w:bidi w:val="0"/>
              <w:spacing w:before="0" w:after="283"/>
              <w:jc w:val="left"/>
              <w:rPr/>
            </w:pPr>
            <w:r>
              <w:rPr>
                <w:rStyle w:val="SourceText"/>
              </w:rPr>
              <w:t>@terminal3/t3n-sdk@4.39.1</w:t>
            </w:r>
          </w:p>
        </w:tc>
      </w:tr>
      <w:tr>
        <w:trPr/>
        <w:tc>
          <w:tcPr>
            <w:tcW w:w="2287" w:type="dxa"/>
            <w:tcBorders/>
            <w:vAlign w:val="center"/>
          </w:tcPr>
          <w:p>
            <w:pPr>
              <w:pStyle w:val="TableContents"/>
              <w:bidi w:val="0"/>
              <w:spacing w:before="0" w:after="283"/>
              <w:jc w:val="left"/>
              <w:rPr/>
            </w:pPr>
            <w:r>
              <w:rPr/>
              <w:t>wasm-tools</w:t>
            </w:r>
          </w:p>
        </w:tc>
        <w:tc>
          <w:tcPr>
            <w:tcW w:w="3834" w:type="dxa"/>
            <w:tcBorders/>
            <w:vAlign w:val="center"/>
          </w:tcPr>
          <w:p>
            <w:pPr>
              <w:pStyle w:val="TableContents"/>
              <w:bidi w:val="0"/>
              <w:spacing w:before="0" w:after="283"/>
              <w:jc w:val="left"/>
              <w:rPr/>
            </w:pPr>
            <w:r>
              <w:rPr/>
              <w:t>1.256.0</w:t>
            </w:r>
          </w:p>
        </w:tc>
      </w:tr>
      <w:tr>
        <w:trPr/>
        <w:tc>
          <w:tcPr>
            <w:tcW w:w="2287" w:type="dxa"/>
            <w:tcBorders/>
            <w:vAlign w:val="center"/>
          </w:tcPr>
          <w:p>
            <w:pPr>
              <w:pStyle w:val="TableContents"/>
              <w:bidi w:val="0"/>
              <w:spacing w:before="0" w:after="283"/>
              <w:jc w:val="left"/>
              <w:rPr/>
            </w:pPr>
            <w:r>
              <w:rPr/>
              <w:t>Cluster</w:t>
            </w:r>
          </w:p>
        </w:tc>
        <w:tc>
          <w:tcPr>
            <w:tcW w:w="3834" w:type="dxa"/>
            <w:tcBorders/>
            <w:vAlign w:val="center"/>
          </w:tcPr>
          <w:p>
            <w:pPr>
              <w:pStyle w:val="TableContents"/>
              <w:bidi w:val="0"/>
              <w:spacing w:before="0" w:after="283"/>
              <w:jc w:val="left"/>
              <w:rPr/>
            </w:pPr>
            <w:r>
              <w:rPr>
                <w:rStyle w:val="SourceText"/>
              </w:rPr>
              <w:t>cn-api.sg.testnet.t3n.terminal3.io</w:t>
            </w:r>
          </w:p>
        </w:tc>
      </w:tr>
      <w:tr>
        <w:trPr/>
        <w:tc>
          <w:tcPr>
            <w:tcW w:w="2287" w:type="dxa"/>
            <w:tcBorders/>
            <w:vAlign w:val="center"/>
          </w:tcPr>
          <w:p>
            <w:pPr>
              <w:pStyle w:val="TableContents"/>
              <w:bidi w:val="0"/>
              <w:spacing w:before="0" w:after="283"/>
              <w:jc w:val="left"/>
              <w:rPr/>
            </w:pPr>
            <w:r>
              <w:rPr>
                <w:rStyle w:val="SourceText"/>
              </w:rPr>
              <w:t>tee:tenant/contracts</w:t>
            </w:r>
          </w:p>
        </w:tc>
        <w:tc>
          <w:tcPr>
            <w:tcW w:w="3834" w:type="dxa"/>
            <w:tcBorders/>
            <w:vAlign w:val="center"/>
          </w:tcPr>
          <w:p>
            <w:pPr>
              <w:pStyle w:val="TableContents"/>
              <w:bidi w:val="0"/>
              <w:spacing w:before="0" w:after="283"/>
              <w:jc w:val="left"/>
              <w:rPr/>
            </w:pPr>
            <w:r>
              <w:rPr/>
              <w:t>1.26.0</w:t>
            </w:r>
          </w:p>
        </w:tc>
      </w:tr>
      <w:tr>
        <w:trPr/>
        <w:tc>
          <w:tcPr>
            <w:tcW w:w="2287" w:type="dxa"/>
            <w:tcBorders/>
            <w:vAlign w:val="center"/>
          </w:tcPr>
          <w:p>
            <w:pPr>
              <w:pStyle w:val="TableContents"/>
              <w:bidi w:val="0"/>
              <w:spacing w:before="0" w:after="283"/>
              <w:jc w:val="left"/>
              <w:rPr/>
            </w:pPr>
            <w:r>
              <w:rPr>
                <w:rStyle w:val="SourceText"/>
              </w:rPr>
              <w:t>tee:user/contracts</w:t>
            </w:r>
          </w:p>
        </w:tc>
        <w:tc>
          <w:tcPr>
            <w:tcW w:w="3834" w:type="dxa"/>
            <w:tcBorders/>
            <w:vAlign w:val="center"/>
          </w:tcPr>
          <w:p>
            <w:pPr>
              <w:pStyle w:val="TableContents"/>
              <w:bidi w:val="0"/>
              <w:spacing w:before="0" w:after="283"/>
              <w:jc w:val="left"/>
              <w:rPr/>
            </w:pPr>
            <w:r>
              <w:rPr/>
              <w:t>2.25.1</w:t>
            </w:r>
          </w:p>
        </w:tc>
      </w:tr>
    </w:tbl>
    <w:p>
      <w:pPr>
        <w:pStyle w:val="HorizontalLine"/>
        <w:bidi w:val="0"/>
        <w:jc w:val="left"/>
        <w:rPr/>
      </w:pPr>
      <w:r>
        <w:rPr/>
      </w:r>
    </w:p>
    <w:p>
      <w:pPr>
        <w:pStyle w:val="Heading2"/>
        <w:bidi w:val="0"/>
        <w:jc w:val="left"/>
        <w:rPr/>
      </w:pPr>
      <w:r>
        <w:rPr/>
        <w:t>A fix for the Next.js WASM rough edge you asked about</w:t>
      </w:r>
    </w:p>
    <w:p>
      <w:pPr>
        <w:pStyle w:val="BodyText"/>
        <w:bidi w:val="0"/>
        <w:jc w:val="left"/>
        <w:rPr/>
      </w:pPr>
      <w:r>
        <w:rPr/>
        <w:t>Not a bug — an answer to one you requested. The Quickstart says:</w:t>
      </w:r>
    </w:p>
    <w:p>
      <w:pPr>
        <w:pStyle w:val="BlockQuotation"/>
        <w:bidi w:val="0"/>
        <w:jc w:val="left"/>
        <w:rPr/>
      </w:pPr>
      <w:r>
        <w:rPr/>
        <w:t xml:space="preserve">We're tracking this as a known rough edge — </w:t>
      </w:r>
      <w:r>
        <w:rPr>
          <w:rStyle w:val="Strong"/>
        </w:rPr>
        <w:t>if you find a config that fixes it, tell us in the developer Telegram and we'll document it here properly.</w:t>
      </w:r>
    </w:p>
    <w:p>
      <w:pPr>
        <w:pStyle w:val="BodyText"/>
        <w:bidi w:val="0"/>
        <w:jc w:val="left"/>
        <w:rPr/>
      </w:pPr>
      <w:r>
        <w:rPr/>
        <w:t>I integrated the SDK into a Next.js 16.2.6 app (App Router, Turbopack) and it works. Two things are needed, and nothing else:</w:t>
      </w:r>
    </w:p>
    <w:p>
      <w:pPr>
        <w:pStyle w:val="PreformattedText"/>
        <w:bidi w:val="0"/>
        <w:jc w:val="left"/>
        <w:rPr/>
      </w:pPr>
      <w:r>
        <w:rPr>
          <w:rStyle w:val="SourceText"/>
        </w:rPr>
        <w:t>// next.config.ts — the SDK is not on Next's auto-externalised list</w:t>
      </w:r>
    </w:p>
    <w:p>
      <w:pPr>
        <w:pStyle w:val="PreformattedText"/>
        <w:bidi w:val="0"/>
        <w:jc w:val="left"/>
        <w:rPr/>
      </w:pPr>
      <w:r>
        <w:rPr>
          <w:rStyle w:val="SourceText"/>
        </w:rPr>
        <w:t>serverExternalPackages: ["@terminal3/t3n-sdk"]</w:t>
      </w:r>
    </w:p>
    <w:p>
      <w:pPr>
        <w:pStyle w:val="PreformattedText"/>
        <w:bidi w:val="0"/>
        <w:jc w:val="left"/>
        <w:rPr/>
      </w:pPr>
      <w:r>
        <w:rPr/>
      </w:r>
    </w:p>
    <w:p>
      <w:pPr>
        <w:pStyle w:val="PreformattedText"/>
        <w:bidi w:val="0"/>
        <w:jc w:val="left"/>
        <w:rPr/>
      </w:pPr>
      <w:r>
        <w:rPr>
          <w:rStyle w:val="SourceText"/>
        </w:rPr>
        <w:t>// any route importing it — loadWasmComponent needs Node</w:t>
      </w:r>
    </w:p>
    <w:p>
      <w:pPr>
        <w:pStyle w:val="PreformattedText"/>
        <w:bidi w:val="0"/>
        <w:spacing w:before="0" w:after="283"/>
        <w:jc w:val="left"/>
        <w:rPr/>
      </w:pPr>
      <w:r>
        <w:rPr>
          <w:rStyle w:val="SourceText"/>
        </w:rPr>
        <w:t>export const runtime = "nodejs"   // NOT "edge"</w:t>
      </w:r>
    </w:p>
    <w:p>
      <w:pPr>
        <w:pStyle w:val="BodyText"/>
        <w:bidi w:val="0"/>
        <w:jc w:val="left"/>
        <w:rPr/>
      </w:pPr>
      <w:r>
        <w:rPr/>
        <w:t xml:space="preserve">Verified in both </w:t>
      </w:r>
      <w:r>
        <w:rPr>
          <w:rStyle w:val="SourceText"/>
        </w:rPr>
        <w:t>next dev</w:t>
      </w:r>
      <w:r>
        <w:rPr/>
        <w:t xml:space="preserve"> (Turbopack) and </w:t>
      </w:r>
      <w:r>
        <w:rPr>
          <w:rStyle w:val="SourceText"/>
        </w:rPr>
        <w:t>next build</w:t>
      </w:r>
      <w:r>
        <w:rPr/>
        <w:t xml:space="preserve">: </w:t>
      </w:r>
      <w:r>
        <w:rPr>
          <w:rStyle w:val="SourceText"/>
        </w:rPr>
        <w:t>loadWasmComponent</w:t>
      </w:r>
      <w:r>
        <w:rPr/>
        <w:t xml:space="preserve">, </w:t>
      </w:r>
      <w:r>
        <w:rPr>
          <w:rStyle w:val="SourceText"/>
        </w:rPr>
        <w:t>fetchTrustedManifest</w:t>
      </w:r>
      <w:r>
        <w:rPr/>
        <w:t xml:space="preserve">, handshake, authenticate, </w:t>
      </w:r>
      <w:r>
        <w:rPr>
          <w:rStyle w:val="SourceText"/>
        </w:rPr>
        <w:t>getContractVersion</w:t>
      </w:r>
      <w:r>
        <w:rPr/>
        <w:t xml:space="preserve"> and </w:t>
      </w:r>
      <w:r>
        <w:rPr>
          <w:rStyle w:val="SourceText"/>
        </w:rPr>
        <w:t>executeAndDecode</w:t>
      </w:r>
      <w:r>
        <w:rPr/>
        <w:t xml:space="preserve"> against the live contract.</w:t>
      </w:r>
    </w:p>
    <w:p>
      <w:pPr>
        <w:pStyle w:val="BodyText"/>
        <w:bidi w:val="0"/>
        <w:jc w:val="left"/>
        <w:rPr/>
      </w:pPr>
      <w:r>
        <w:rPr/>
        <w:t>Worth documenting alongside it: the first call costs ~10s (WASM load + handshake + auth + version lookup) and later calls ~0.04s once memoised. On serverless that 10s hits every cold start, so the session wants caching at module scope with the in-flight promise shared.</w:t>
      </w:r>
    </w:p>
    <w:p>
      <w:pPr>
        <w:pStyle w:val="BodyText"/>
        <w:bidi w:val="0"/>
        <w:jc w:val="left"/>
        <w:rPr/>
      </w:pPr>
      <w:r>
        <w:rPr/>
        <w:t xml:space="preserve">The working integration is an AI chat agent that calls the eligibility contract as a tool and explains the result: </w:t>
      </w:r>
      <w:hyperlink r:id="rId12">
        <w:r>
          <w:rPr>
            <w:rStyle w:val="Hyperlink"/>
          </w:rPr>
          <w:t>https://github.com/G-ojies/greyat-labs-chat</w:t>
        </w:r>
      </w:hyperlink>
    </w:p>
    <w:p>
      <w:pPr>
        <w:pStyle w:val="Heading2"/>
        <w:bidi w:val="0"/>
        <w:jc w:val="left"/>
        <w:rPr/>
      </w:pPr>
      <w:r>
        <w:rPr/>
        <w:t>One open question I could not answer</w:t>
      </w:r>
    </w:p>
    <w:p>
      <w:pPr>
        <w:pStyle w:val="BodyText"/>
        <w:bidi w:val="0"/>
        <w:jc w:val="left"/>
        <w:rPr/>
      </w:pPr>
      <w:r>
        <w:rPr/>
        <w:t>Recorded rather than glossed over, because it affects my own contract.</w:t>
      </w:r>
    </w:p>
    <w:p>
      <w:pPr>
        <w:pStyle w:val="BodyText"/>
        <w:bidi w:val="0"/>
        <w:jc w:val="left"/>
        <w:rPr/>
      </w:pPr>
      <w:r>
        <w:rPr>
          <w:rStyle w:val="Strong"/>
        </w:rPr>
        <w:t xml:space="preserve">What does </w:t>
      </w:r>
      <w:r>
        <w:rPr>
          <w:rStyle w:val="SourceText"/>
        </w:rPr>
        <w:t>calling-user-did()</w:t>
      </w:r>
      <w:r>
        <w:rPr>
          <w:rStyle w:val="Strong"/>
        </w:rPr>
        <w:t xml:space="preserve"> return during a delegated call?</w:t>
      </w:r>
      <w:r>
        <w:rPr/>
        <w:t xml:space="preserve"> The WIT calls it "the authenticated session DID". When an </w:t>
      </w:r>
      <w:r>
        <w:rPr>
          <w:rStyle w:val="Emphasis"/>
        </w:rPr>
        <w:t>agent</w:t>
      </w:r>
      <w:r>
        <w:rPr/>
        <w:t xml:space="preserve"> invokes on a user's behalf, either reading is plausible:</w:t>
      </w:r>
    </w:p>
    <w:p>
      <w:pPr>
        <w:pStyle w:val="BodyText"/>
        <w:numPr>
          <w:ilvl w:val="0"/>
          <w:numId w:val="4"/>
        </w:numPr>
        <w:tabs>
          <w:tab w:val="clear" w:pos="1134"/>
          <w:tab w:val="left" w:pos="709" w:leader="none"/>
        </w:tabs>
        <w:bidi w:val="0"/>
        <w:spacing w:before="0" w:after="0"/>
        <w:ind w:hanging="283" w:left="709"/>
        <w:jc w:val="left"/>
        <w:rPr/>
      </w:pPr>
      <w:r>
        <w:rPr/>
        <w:t xml:space="preserve">it returns the </w:t>
      </w:r>
      <w:r>
        <w:rPr>
          <w:rStyle w:val="Strong"/>
        </w:rPr>
        <w:t>user's</w:t>
      </w:r>
      <w:r>
        <w:rPr/>
        <w:t xml:space="preserve"> DID → </w:t>
      </w:r>
      <w:r>
        <w:rPr>
          <w:rStyle w:val="SourceText"/>
        </w:rPr>
        <w:t>z-tenant-eligibility</w:t>
      </w:r>
      <w:r>
        <w:rPr/>
        <w:t xml:space="preserve"> is correct, since the attestation is attributed to whoever's PII was read; or </w:t>
      </w:r>
    </w:p>
    <w:p>
      <w:pPr>
        <w:pStyle w:val="BodyText"/>
        <w:numPr>
          <w:ilvl w:val="0"/>
          <w:numId w:val="4"/>
        </w:numPr>
        <w:tabs>
          <w:tab w:val="clear" w:pos="1134"/>
          <w:tab w:val="left" w:pos="709" w:leader="none"/>
        </w:tabs>
        <w:bidi w:val="0"/>
        <w:ind w:hanging="283" w:left="709"/>
        <w:jc w:val="left"/>
        <w:rPr/>
      </w:pPr>
      <w:r>
        <w:rPr/>
        <w:t xml:space="preserve">it returns the </w:t>
      </w:r>
      <w:r>
        <w:rPr>
          <w:rStyle w:val="Strong"/>
        </w:rPr>
        <w:t>agent's</w:t>
      </w:r>
      <w:r>
        <w:rPr/>
        <w:t xml:space="preserve"> DID → my contract has a genuine correctness bug, because the host resolves the </w:t>
      </w:r>
      <w:r>
        <w:rPr>
          <w:rStyle w:val="Emphasis"/>
        </w:rPr>
        <w:t>user's</w:t>
      </w:r>
      <w:r>
        <w:rPr/>
        <w:t xml:space="preserve"> profile for the </w:t>
      </w:r>
      <w:r>
        <w:rPr>
          <w:rStyle w:val="SourceText"/>
        </w:rPr>
        <w:t>{{profile.*}}</w:t>
      </w:r>
      <w:r>
        <w:rPr/>
        <w:t xml:space="preserve"> placeholders while the attestation would be keyed to the agent. One person's eligibility would be recorded against a different principal. </w:t>
      </w:r>
    </w:p>
    <w:p>
      <w:pPr>
        <w:pStyle w:val="BodyText"/>
        <w:bidi w:val="0"/>
        <w:jc w:val="left"/>
        <w:rPr/>
      </w:pPr>
      <w:r>
        <w:rPr/>
        <w:t>I wrote the test (</w:t>
      </w:r>
      <w:r>
        <w:rPr>
          <w:rStyle w:val="SourceText"/>
        </w:rPr>
        <w:t>scripts/agent-test.ts</w:t>
      </w:r>
      <w:r>
        <w:rPr/>
        <w:t>, step 5) and it's ready to run, but it cannot reach that step — the agent has no credits (BUG-08), so the call never executes. Everything in this report used the self-call form, where user and caller are the same DID and the ambiguity doesn't arise.</w:t>
      </w:r>
    </w:p>
    <w:p>
      <w:pPr>
        <w:pStyle w:val="BodyText"/>
        <w:bidi w:val="0"/>
        <w:jc w:val="left"/>
        <w:rPr/>
      </w:pPr>
      <w:r>
        <w:rPr/>
        <w:t xml:space="preserve">Flagging it because any contract keying authorisation or record-ownership on </w:t>
      </w:r>
      <w:r>
        <w:rPr>
          <w:rStyle w:val="SourceText"/>
        </w:rPr>
        <w:t>calling-user-did()</w:t>
      </w:r>
      <w:r>
        <w:rPr/>
        <w:t xml:space="preserve"> behaves differently under delegation depending on which reading holds, and the docs don't say. If you can fund an agent identity on your side, that test answers it in one call — I'd genuinely like to know.</w:t>
      </w:r>
    </w:p>
    <w:p>
      <w:pPr>
        <w:pStyle w:val="Heading2"/>
        <w:bidi w:val="0"/>
        <w:jc w:val="left"/>
        <w:rPr/>
      </w:pPr>
      <w:r>
        <w:rPr/>
        <w:t>What would help most</w:t>
      </w:r>
    </w:p>
    <w:p>
      <w:pPr>
        <w:pStyle w:val="BodyText"/>
        <w:bidi w:val="0"/>
        <w:jc w:val="left"/>
        <w:rPr/>
      </w:pPr>
      <w:r>
        <w:rPr/>
        <w:t xml:space="preserve">If I could change one thing, it would be </w:t>
      </w:r>
      <w:r>
        <w:rPr>
          <w:rStyle w:val="Strong"/>
        </w:rPr>
        <w:t>BUG-12</w:t>
      </w:r>
      <w:r>
        <w:rPr/>
        <w:t xml:space="preserve"> — returning a proper </w:t>
      </w:r>
      <w:r>
        <w:rPr>
          <w:rStyle w:val="SourceText"/>
        </w:rPr>
        <w:t>-32601 Method not found</w:t>
      </w:r>
      <w:r>
        <w:rPr/>
        <w:t xml:space="preserve"> instead of </w:t>
      </w:r>
      <w:r>
        <w:rPr>
          <w:rStyle w:val="SourceText"/>
        </w:rPr>
        <w:t>Internal error</w:t>
      </w:r>
      <w:r>
        <w:rPr/>
        <w:t>. Every other defect here took hours longer than it should have because a name mismatch and a genuine server fault look identical, and the documented response to both is "file a ticket". Fixing that one makes the platform self-describing, which is how I eventually got everything working.</w:t>
      </w:r>
    </w:p>
    <w:p>
      <w:pPr>
        <w:pStyle w:val="BodyText"/>
        <w:bidi w:val="0"/>
        <w:spacing w:before="0" w:after="283"/>
        <w:jc w:val="left"/>
        <w:rPr/>
      </w:pPr>
      <w:r>
        <w:rPr/>
        <w:t>The second would be a round-trip integration test between the SDK's tenant helpers and a live node. BUG-10, BUG-11 and BUG-13 are all mechanical drift that a single such test would catch.</w:t>
      </w:r>
    </w:p>
    <w:sectPr>
      <w:type w:val="nextPage"/>
      <w:pgSz w:w="11906" w:h="16838"/>
      <w:pgMar w:left="850" w:right="850" w:gutter="0" w:header="0" w:top="850" w:footer="0" w:bottom="850"/>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eorgia">
    <w:altName w:val="serif"/>
    <w:charset w:val="01"/>
    <w:family w:val="auto"/>
    <w:pitch w:val="default"/>
  </w:font>
  <w:font w:name="DejaVu Sans Mono">
    <w:altName w:val="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NG" w:eastAsia="zh-CN" w:bidi="hi-IN"/>
      </w:rPr>
    </w:rPrDefault>
    <w:pPrDefault>
      <w:pPr>
        <w:suppressAutoHyphens w:val="true"/>
      </w:pPr>
    </w:pPrDefault>
  </w:docDefaults>
  <w:style w:type="paragraph" w:styleId="Normal">
    <w:name w:val="Normal"/>
    <w:qFormat/>
    <w:pPr>
      <w:widowControl w:val="false"/>
      <w:bidi w:val="0"/>
      <w:spacing w:lineRule="auto" w:line="348"/>
    </w:pPr>
    <w:rPr>
      <w:rFonts w:ascii="Georgia;serif" w:hAnsi="Georgia;serif" w:eastAsia="Georgia;serif" w:cs="Georgia;serif"/>
      <w:color w:val="111111"/>
      <w:sz w:val="22"/>
      <w:szCs w:val="22"/>
      <w:lang w:val="en-NG" w:eastAsia="zh-CN" w:bidi="hi-IN"/>
    </w:rPr>
  </w:style>
  <w:style w:type="paragraph" w:styleId="Heading1">
    <w:name w:val="heading 1"/>
    <w:basedOn w:val="Heading"/>
    <w:next w:val="BodyText"/>
    <w:qFormat/>
    <w:pPr>
      <w:spacing w:before="360" w:after="283"/>
    </w:pPr>
    <w:rPr>
      <w:b/>
      <w:bCs/>
      <w:sz w:val="40"/>
      <w:szCs w:val="40"/>
    </w:rPr>
  </w:style>
  <w:style w:type="paragraph" w:styleId="Heading2">
    <w:name w:val="heading 2"/>
    <w:basedOn w:val="Heading"/>
    <w:next w:val="BodyText"/>
    <w:qFormat/>
    <w:pPr>
      <w:pBdr>
        <w:bottom w:val="single" w:sz="2" w:space="3" w:color="CCCCCC"/>
      </w:pBdr>
      <w:spacing w:before="400" w:after="120"/>
      <w:outlineLvl w:val="1"/>
    </w:pPr>
    <w:rPr>
      <w:rFonts w:ascii="Liberation Serif" w:hAnsi="Liberation Serif" w:eastAsia="Noto Serif CJK SC" w:cs="FreeSans"/>
      <w:b/>
      <w:bCs/>
      <w:sz w:val="30"/>
      <w:szCs w:val="30"/>
    </w:rPr>
  </w:style>
  <w:style w:type="paragraph" w:styleId="Heading3">
    <w:name w:val="heading 3"/>
    <w:basedOn w:val="Heading"/>
    <w:next w:val="BodyText"/>
    <w:qFormat/>
    <w:pPr>
      <w:spacing w:before="280" w:after="120"/>
      <w:outlineLvl w:val="2"/>
    </w:pPr>
    <w:rPr>
      <w:rFonts w:ascii="Liberation Serif" w:hAnsi="Liberation Serif" w:eastAsia="Noto Serif CJK SC" w:cs="FreeSans"/>
      <w:b/>
      <w:bCs/>
      <w:sz w:val="25"/>
      <w:szCs w:val="25"/>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DejaVu Sans Mono;Consolas;monospace" w:hAnsi="DejaVu Sans Mono;Consolas;monospace" w:eastAsia="DejaVu Sans Mono;Consolas;monospace" w:cs="DejaVu Sans Mono;Consolas;monospace"/>
      <w:sz w:val="18"/>
      <w:szCs w:val="18"/>
      <w:shd w:fill="F4F4F4" w:val="clear"/>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DDDDDD"/>
        <w:left w:val="single" w:sz="2" w:space="8" w:color="DDDDDD"/>
        <w:bottom w:val="single" w:sz="2" w:space="8" w:color="DDDDDD"/>
        <w:right w:val="single" w:sz="2" w:space="8" w:color="DDDDDD"/>
      </w:pBdr>
      <w:shd w:fill="F4F4F4" w:val="clear"/>
      <w:spacing w:before="0" w:after="0"/>
    </w:pPr>
    <w:rPr>
      <w:rFonts w:ascii="DejaVu Sans Mono;Consolas;monospace" w:hAnsi="DejaVu Sans Mono;Consolas;monospace" w:eastAsia="DejaVu Sans Mono;Consolas;monospace" w:cs="DejaVu Sans Mono;Consolas;monospace"/>
      <w:sz w:val="18"/>
      <w:szCs w:val="18"/>
    </w:rPr>
  </w:style>
  <w:style w:type="paragraph" w:styleId="BlockQuotation">
    <w:name w:val="Block Quotation"/>
    <w:basedOn w:val="Normal"/>
    <w:qFormat/>
    <w:pPr>
      <w:pBdr>
        <w:left w:val="single" w:sz="18" w:space="10" w:color="BBBBBB"/>
      </w:pBdr>
      <w:spacing w:before="0" w:after="283"/>
      <w:ind w:hanging="0" w:left="567" w:right="567"/>
    </w:pPr>
    <w:rPr>
      <w:i/>
      <w:iCs/>
      <w:color w:val="444444"/>
    </w:rPr>
  </w:style>
  <w:style w:type="paragraph" w:styleId="BodyTextshot-cap">
    <w:name w:val="Body Text.shot-cap"/>
    <w:basedOn w:val="BodyText"/>
    <w:qFormat/>
    <w:pPr>
      <w:spacing w:before="0" w:after="40"/>
    </w:pPr>
    <w:rPr>
      <w:rFonts w:ascii="Georgia;serif" w:hAnsi="Georgia;serif" w:eastAsia="Georgia;serif" w:cs="Georgia;serif"/>
    </w:rPr>
  </w:style>
  <w:style w:type="paragraph" w:styleId="TableHeading">
    <w:name w:val="Table Heading"/>
    <w:basedOn w:val="TableContents"/>
    <w:qFormat/>
    <w:pPr>
      <w:suppressLineNumbers/>
      <w:shd w:fill="EEEEEE"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G-ojies/terminal3-adk" TargetMode="External"/><Relationship Id="rId3" Type="http://schemas.openxmlformats.org/officeDocument/2006/relationships/hyperlink" Target="https://verifier-jade.vercel.app/api/eligibility" TargetMode="External"/><Relationship Id="rId4" Type="http://schemas.openxmlformats.org/officeDocument/2006/relationships/hyperlink" Target="https://github.com/G-ojies/terminal3-adk/tree/main/screenshots"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yperlink" Target="https://verifier-jade.vercel.app/api/eligibility" TargetMode="External"/><Relationship Id="rId12" Type="http://schemas.openxmlformats.org/officeDocument/2006/relationships/hyperlink" Target="https://github.com/G-ojies/greyat-labs-chat"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en-NG</dc:language>
  <cp:lastModifiedBy/>
  <cp:revision>0</cp:revision>
  <dc:subject/>
  <dc:title>Terminal 3 ADK — Bounty Submission</dc:title>
</cp:coreProperties>
</file>

<file path=docProps/custom.xml><?xml version="1.0" encoding="utf-8"?>
<Properties xmlns="http://schemas.openxmlformats.org/officeDocument/2006/custom-properties" xmlns:vt="http://schemas.openxmlformats.org/officeDocument/2006/docPropsVTypes"/>
</file>