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Dashboard Interactions: Filter Action and Navigation Action</w:t>
      </w:r>
    </w:p>
    <w:p>
      <w:pPr>
        <w:spacing w:after="120"/>
      </w:pPr>
      <w:r>
        <w:t xml:space="preserve">Both actions are configured on the Regional Performance Summary table on the Sales Pipeline sheet. A single left-click on a region runs the filter action, and right-clicking a region offers the navigation action to the Customer Health sheet.</w:t>
      </w:r>
    </w:p>
    <w:p>
      <w:pPr>
        <w:pStyle w:val="Heading2"/>
      </w:pPr>
      <w:r>
        <w:t xml:space="preserve">1. One-Click Filter Action (two or more visuals)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752725"/>
            <wp:effectExtent t="0" r="0" b="0" l="0"/>
            <wp:docPr id="1" name="config.png" descr="config.png" title="conf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sz w:val="20"/>
          <w:szCs w:val="20"/>
        </w:rPr>
        <w:t xml:space="preserve">Figure 1. Action 1 is a Filter action listed under "On select," so one click on a row triggers it. Here East has been clicked and the table highlights the selected row.</w:t>
      </w:r>
    </w:p>
    <w:p>
      <w:pPr>
        <w:spacing w:after="60" w:before="120"/>
        <w:jc w:val="center"/>
      </w:pPr>
      <w:r>
        <w:drawing>
          <wp:inline distT="0" distB="0" distL="0" distR="0">
            <wp:extent cx="4162425" cy="5334000"/>
            <wp:effectExtent t="0" r="0" b="0" l="0"/>
            <wp:docPr id="1" name="before.png" descr="before.png" title="befo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sz w:val="20"/>
          <w:szCs w:val="20"/>
        </w:rPr>
        <w:t xml:space="preserve">Figure 2. Before: no region selected. Win Rate by Region shows Central, West, and East, and the Revenue by Company Size &amp; Product axis runs to $300K.</w:t>
      </w:r>
    </w:p>
    <w:p>
      <w:pPr>
        <w:spacing w:after="60" w:before="120"/>
        <w:jc w:val="center"/>
      </w:pPr>
      <w:r>
        <w:drawing>
          <wp:inline distT="0" distB="0" distL="0" distR="0">
            <wp:extent cx="4038600" cy="5334000"/>
            <wp:effectExtent t="0" r="0" b="0" l="0"/>
            <wp:docPr id="1" name="after.png" descr="after.png" title="af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sz w:val="20"/>
          <w:szCs w:val="20"/>
        </w:rPr>
        <w:t xml:space="preserve">Figure 3. After one click on East in the Regional Performance Summary table: Win Rate by Region now shows East only, and Revenue by Company Size &amp; Product drops to East's figures (axis now tops out near $70K). At least two visuals are filtered by a single click.</w:t>
      </w:r>
    </w:p>
    <w:p>
      <w:pPr>
        <w:pStyle w:val="Heading2"/>
      </w:pPr>
      <w:r>
        <w:t xml:space="preserve">2. Cross-Sheet Navigation Action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000375"/>
            <wp:effectExtent t="0" r="0" b="0" l="0"/>
            <wp:docPr id="1" name="both.png" descr="both.png" title="bo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sz w:val="20"/>
          <w:szCs w:val="20"/>
        </w:rPr>
        <w:t xml:space="preserve">Figure 4. The table carries two actions: Action 1 (Filter action, On select) and "Go to Customer Health" (Navigation action, Menu option), which links the Sales Pipeline sheet to the Customer Health sheet.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95650"/>
            <wp:effectExtent t="0" r="0" b="0" l="0"/>
            <wp:docPr id="1" name="menu.png" descr="menu.png" title="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sz w:val="20"/>
          <w:szCs w:val="20"/>
        </w:rPr>
        <w:t xml:space="preserve">Figure 5. Right-clicking a region shows "Go to Customer Health." Choosing it opens the Customer Health sheet.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5ac21051c32f7542e65231e692236e28d8a1a31.png"/><Relationship Id="rId8" Type="http://schemas.openxmlformats.org/officeDocument/2006/relationships/image" Target="media/18e382ee760f87f0507ba14cf78b5c6aeed8e1dc.png"/><Relationship Id="rId9" Type="http://schemas.openxmlformats.org/officeDocument/2006/relationships/image" Target="media/8bb9825c6b6cd4004d75a59289ce3dd8ae985ccc.png"/><Relationship Id="rId10" Type="http://schemas.openxmlformats.org/officeDocument/2006/relationships/image" Target="media/ad1107244b5d77faa78e10e5f370b9e80ec85cac.png"/><Relationship Id="rId11" Type="http://schemas.openxmlformats.org/officeDocument/2006/relationships/image" Target="media/5d948512b0a07ac1edeeca18f56f5e54f2e29e5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2026-09-28T03:29:50.556Z</dcterms:created>
  <dcterms:modified xsi:type="dcterms:W3CDTF">2026-09-28T03:29:50.564Z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