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NovaTech Revenue Intelligence Dashboard: Executive Summary</w:t>
      </w:r>
    </w:p>
    <w:p>
      <w:pPr>
        <w:spacing w:after="120"/>
      </w:pPr>
      <w:r>
        <w:rPr>
          <w:i/>
          <w:iCs/>
        </w:rPr>
        <w:t xml:space="preserve">This summary was generated by QuickSight from the published dashboard. Interpretation, caveats, and recommendations are in the separate written report to Sarah Chen.</w:t>
      </w:r>
    </w:p>
    <w:p>
      <w:pPr>
        <w:pStyle w:val="Heading2"/>
        <w:spacing w:after="100" w:before="200"/>
      </w:pPr>
      <w:r>
        <w:t xml:space="preserve">Marketing Funnel</w:t>
      </w:r>
    </w:p>
    <w:p>
      <w:pPr>
        <w:spacing w:after="120"/>
      </w:pPr>
      <w:r>
        <w:t xml:space="preserve">The sheet provides an overview of marketing campaign performance, tracking spend, revenue, leads, response rates, and ROI across channels and funnel stages.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campaign spend of $12,359,497.34 far outpaces total attributed revenue of $1,127,224.11, a spend-to-revenue ratio of roughly 11 to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Partner Referral is the top lead-generating channel with 807 of the 2,240 total leads, followed by Organic Search with 671.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funnel shows strong qualification momentum, with Qualified Lead (848) and Closed Won (412) as the leading stages.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NovaPulse Launch leads in revenue at $394,156.59, while Digital Retarget is the highest spender at $2,423,781.95.</w:t>
      </w:r>
    </w:p>
    <w:p>
      <w:pPr>
        <w:pStyle w:val="Heading2"/>
        <w:spacing w:after="100" w:before="200"/>
      </w:pPr>
      <w:r>
        <w:t xml:space="preserve">Sales Pipeline</w:t>
      </w:r>
    </w:p>
    <w:p>
      <w:pPr>
        <w:spacing w:after="120"/>
      </w:pPr>
      <w:r>
        <w:t xml:space="preserve">The sheet provides an overview of sales performance, tracking 499 total deals with $707,201.00 in won revenue, along with win rates, loss reasons, closing timelines, and breakdowns by company size and sales rep.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overall win rate is 63.13%, and 184 deals were lost, primarily due to No Decision Made (43) and Poor Product Fit (43).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Enterprise and Large companies dominate revenue at $319,423 and $271,613 respectively, while Medium companies contribute $58,192.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Days to close vary widely, peaking at 107.67 days in April 2024 and dropping to 7.84 days in October 2024.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Andre Moreau leads win rates at 100%, while Leila Hassan trails at 70.59%.</w:t>
      </w:r>
    </w:p>
    <w:p>
      <w:pPr>
        <w:pStyle w:val="Heading2"/>
        <w:spacing w:after="100" w:before="200"/>
      </w:pPr>
      <w:r>
        <w:t xml:space="preserve">Customer Health</w:t>
      </w:r>
    </w:p>
    <w:p>
      <w:pPr>
        <w:spacing w:after="120"/>
      </w:pPr>
      <w:r>
        <w:t xml:space="preserve">The sheet provides an overview of customer support operations, tracking open tickets, resolution efficiency, sentiment trends, and account-level ticket distribution across product areas.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Resolution times are nearly uniform across priority levels, at 58.92 hours for low, 57.62 hours for high, and 57.49 hours for medium priority.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Neutral sentiment dominates with 1,953 tickets, while negative sentiment accounts for 22.8% of interactions.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 is the top product area with 601 tickets, and ACCT-041 alone generated 334 tickets, nearly double the next-highest account.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2026-09-27T02:39:10.384Z</dcterms:created>
  <dcterms:modified xsi:type="dcterms:W3CDTF">2026-09-27T02:39:10.387Z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