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Revenue Intelligence Dashboard: Report to Sarah Chen, VP of Revenue</w:t>
      </w:r>
    </w:p>
    <w:p>
      <w:pPr>
        <w:spacing w:after="120"/>
      </w:pPr>
      <w:r>
        <w:rPr>
          <w:b/>
          <w:bCs/>
        </w:rPr>
        <w:t xml:space="preserve">From: </w:t>
      </w:r>
      <w:r>
        <w:t xml:space="preserve">Semoy Legall, BI Analyst     </w:t>
      </w:r>
      <w:r>
        <w:rPr>
          <w:b/>
          <w:bCs/>
        </w:rPr>
        <w:t xml:space="preserve">Date: </w:t>
      </w:r>
      <w:r>
        <w:t xml:space="preserve">September 26, 2026</w:t>
      </w:r>
    </w:p>
    <w:p>
      <w:pPr>
        <w:pStyle w:val="Heading2"/>
        <w:spacing w:after="100" w:before="200"/>
      </w:pPr>
      <w:r>
        <w:t xml:space="preserve">1. Data Strategy</w:t>
      </w:r>
    </w:p>
    <w:p>
      <w:pPr>
        <w:spacing w:after="120"/>
      </w:pPr>
      <w:r>
        <w:t xml:space="preserve">NovaTech's revenue data lives in three separate systems: the CRM (the customer relationship management system that tracks deals), the marketing analytics platform, and the support ticketing tool. I loaded all three into SPICE, QuickSight's in-memory storage engine, which keeps the dashboard fast because each click does not have to query the source files. On import, I corrected data types so that dates are treated as dates and money fields as decimals. I also added calculated fields, which are new columns derived from existing data, including days to close, a won-or-lost flag, campaign ROI, and ticket resolution hours.</w:t>
      </w:r>
    </w:p>
    <w:p>
      <w:pPr>
        <w:spacing w:after="120"/>
      </w:pPr>
      <w:r>
        <w:t xml:space="preserve">To connect the systems, I used the CRM deals table as the anchor table, meaning the starting table that every other table attaches to. I joined the marketing and support tables to it on account ID using a left join. A left join keeps every deal even when an account has no matching marketing or support records, so no revenue drops out of the view.</w:t>
      </w:r>
    </w:p>
    <w:p>
      <w:pPr>
        <w:spacing w:after="120"/>
      </w:pPr>
      <w:r>
        <w:t xml:space="preserve">This join created one problem worth knowing about. Because a single account can have many deals, leads, and tickets, joining all three tables directly multiplies rows, an effect called fan-out. The combined table grew to 63,420 rows from roughly 499 deals, which would have inflated revenue and ticket totals many times over. To prevent this, I built two account-level rollups, which are summary tables with exactly one row per account: one for deals and one for support. Any visual that combines revenue with support activity, such as the At-Risk Accounts table, reads from these rollups, so each account's figures are counted only once.</w:t>
      </w:r>
    </w:p>
    <w:p>
      <w:pPr>
        <w:pStyle w:val="Heading2"/>
        <w:spacing w:after="100" w:before="200"/>
      </w:pPr>
      <w:r>
        <w:t xml:space="preserve">2. Dashboard Design Rationale</w:t>
      </w:r>
    </w:p>
    <w:p>
      <w:pPr>
        <w:spacing w:after="120"/>
      </w:pPr>
      <w:r>
        <w:t xml:space="preserve">Each of the three sheets answers one part of your brief. The Marketing Funnel sheet shows channel performance, conversion at each funnel stage, and campaign spend compared with revenue. The Sales Pipeline sheet covers win rate (the share of closed deals that were won), loss reasons, revenue by company size and product, rep performance, and how long deals take to close. The Customer Health sheet shows ticket volume, resolution time by priority, customer sentiment, and an At-Risk Accounts table that places each account's support load next to its deal revenue.</w:t>
      </w:r>
    </w:p>
    <w:p>
      <w:pPr>
        <w:spacing w:after="120"/>
      </w:pPr>
      <w:r>
        <w:t xml:space="preserve">Two interactions reduce the need to switch between tools, which was your team's main frustration with the old process. On the Sales Pipeline sheet, a single click on a row in the pipeline table filters the related visuals to that selection. The same table also offers a navigation action, available by right-clicking a row, that jumps directly to the Customer Health sheet. Short text annotations on each sheet state the key finding, why it matters, and the recommended next step, so a reader gets the interpretation alongside the chart.</w:t>
      </w:r>
    </w:p>
    <w:p>
      <w:pPr>
        <w:pStyle w:val="Heading2"/>
        <w:spacing w:after="100" w:before="200"/>
      </w:pPr>
      <w:r>
        <w:t xml:space="preserve">3. How Topic Configuration Affected Q Accuracy</w:t>
      </w:r>
    </w:p>
    <w:p>
      <w:pPr>
        <w:spacing w:after="120"/>
      </w:pPr>
      <w:r>
        <w:t xml:space="preserve">Quick Chat, also called Q, is QuickSight's natural-language assistant, which answers typed questions such as "which channel converts best?" Its accuracy depends on a Topic, which is a configuration layer that tells the assistant what the data means. Before configuring the Topic, I asked a set of baseline questions and saved the answers. I then re-asked the same questions afterward, so that any change could be attributed to the Topic itself.</w:t>
      </w:r>
    </w:p>
    <w:p>
      <w:pPr>
        <w:spacing w:after="120"/>
      </w:pPr>
      <w:r>
        <w:t xml:space="preserve">The Topic includes the three source tables and the two rollups, links them all on account ID, and contains written instructions in three areas. Synonyms map everyday business words to field names, so "revenue" or "deal size" resolves to deal value and "territory" resolves to sales region. Default aggregations tell the assistant which fields to add up and which to average, so win rate is reported as a percentage rather than as a count of wins. Join guidance tells the assistant to use the one-row-per-account rollups for any question that mixes revenue with support or marketing activity, which guards against the fan-out problem described above. Re-asking the three baseline questions showed the effect directly. Before the Topic, each answer came from a single raw table; afterward, all three drew on the Topic. The conversion question now returned a rate for every channel, and all five match the dashboard exactly. The average deal size for accounts with heavy recent support activity changed from $1,436.84 to $1,408.20, and the Partner Referral win rate changed from 65.14% to 64.78%, because the assistant now applied the Topic's definitions and join rules.</w:t>
      </w:r>
    </w:p>
    <w:p>
      <w:pPr>
        <w:pStyle w:val="Heading2"/>
        <w:spacing w:after="100" w:before="200"/>
      </w:pPr>
      <w:r>
        <w:t xml:space="preserve">4. Key Insights and Recommended Actions</w:t>
      </w:r>
    </w:p>
    <w:p>
      <w:pPr>
        <w:spacing w:after="120"/>
      </w:pPr>
      <w:r>
        <w:rPr>
          <w:b/>
          <w:bCs/>
        </w:rPr>
        <w:t xml:space="preserve">Every campaign is losing money on attributed revenue. </w:t>
      </w:r>
      <w:r>
        <w:t xml:space="preserve">Attributed revenue is the revenue the marketing system credits to each campaign. All six campaigns show a negative return on investment (ROI, the percentage gained or lost relative to the amount spent), ranging from an 83.7% loss for NovaPulse Launch to a 97.7% loss for NovaEdge Awareness. Combined spend is about $12.4 million against $1.1 million in attributed revenue. Before cutting budgets, I recommend confirming with marketing operations whether attribution captures full downstream deal value or only the first interaction, because a gap this large may partly reflect how revenue is credited.</w:t>
      </w:r>
    </w:p>
    <w:p>
      <w:pPr>
        <w:spacing w:after="120"/>
      </w:pPr>
      <w:r>
        <w:rPr>
          <w:b/>
          <w:bCs/>
        </w:rPr>
        <w:t xml:space="preserve">Direct Mail converts better than any digital channel. </w:t>
      </w:r>
      <w:r>
        <w:t xml:space="preserve">Direct Mail leads respond at 53.0% and close at 49.0%, compared with 40.3% and 22.8% for Paid Social and 8.7% and 2.8% for Email. This may reflect the quality of the mailing list rather than the channel itself, so I recommend a controlled test before shifting budget.</w:t>
      </w:r>
    </w:p>
    <w:p>
      <w:pPr>
        <w:spacing w:after="120"/>
      </w:pPr>
      <w:r>
        <w:rPr>
          <w:b/>
          <w:bCs/>
        </w:rPr>
        <w:t xml:space="preserve">One account carries a disproportionate support load. </w:t>
      </w:r>
      <w:r>
        <w:t xml:space="preserve">ACCT-041 filed 334 tickets, nearly double the next-highest account, while carrying $40,722 in deal revenue. I recommend assigning a dedicated customer success contact and reviewing which product area is generating the tickets.</w:t>
      </w:r>
    </w:p>
    <w:p>
      <w:pPr>
        <w:spacing w:after="120"/>
      </w:pPr>
      <w:r>
        <w:rPr>
          <w:b/>
          <w:bCs/>
        </w:rPr>
        <w:t xml:space="preserve">Critical tickets are not resolved much faster than routine ones. </w:t>
      </w:r>
      <w:r>
        <w:t xml:space="preserve">Critical tickets average 56.1 hours to resolve, compared with 58.9 hours for low-priority tickets. I recommend reviewing ticket routing so that the service-level agreement (SLA, the committed response time) for critical issues is meaningfully faster.</w:t>
      </w:r>
    </w:p>
    <w:p>
      <w:pPr>
        <w:spacing w:after="120"/>
      </w:pPr>
      <w:r>
        <w:rPr>
          <w:b/>
          <w:bCs/>
        </w:rPr>
        <w:t xml:space="preserve">Losses have no single cause. </w:t>
      </w:r>
      <w:r>
        <w:t xml:space="preserve">The overall win rate is 63.1%, and lost deals are spread across five reasons, led by No Decision Made and Poor Product Fit at 43 deals each. Because no single reason dominates, reducing losses will require coordinated work across sales qualification and product rather than one fix.</w:t>
      </w:r>
    </w:p>
    <w:p>
      <w:pPr>
        <w:pStyle w:val="Heading2"/>
        <w:spacing w:after="100" w:before="200"/>
      </w:pPr>
      <w:r>
        <w:t xml:space="preserve">5. Where AI Analysis Agreed or Disagreed with the Dashboard</w:t>
      </w:r>
    </w:p>
    <w:p>
      <w:pPr>
        <w:spacing w:after="120"/>
      </w:pPr>
      <w:r>
        <w:t xml:space="preserve">I asked Quick Chat your five example questions and checked each answer against the dashboard; the full detail is in the Q Exploration Log. Four of the five answers matched. The assistant correctly identified Direct Mail as the highest-converting channel at 53.0%, matched average deal size by company size, matched the top nine accounts by ticket volume and their revenue within 0.4%, and matched spend and revenue for all six campaigns to the dollar. For the tenth place, however, it listed 204 tickets with no linked account, even though every ticket in the data belongs to an account; the dashboard shows ACCT-018 with 83 tickets instead. One nuance is that average deal size includes lost deals at zero value, so it represents revenue per opportunity rather than revenue per won deal, and the team should keep those two measures distinct.</w:t>
      </w:r>
    </w:p>
    <w:p>
      <w:pPr>
        <w:spacing w:after="120"/>
      </w:pPr>
      <w:r>
        <w:t xml:space="preserve">The assistant disagreed with the dashboard on one question. When asked to compare resolution time for critical and low-priority tickets, it reported ticket counts roughly 18 to 20 times too high, such as 27,593 low-priority tickets when only 1,500 exist, and its averages were also off. The direction of the answer was correct, but the numbers were not usable. This matches the fan-out pattern: for ticket-level detail, the assistant drew on the joined table instead of the original support table. My next step is to point the ticket-level fields in the Topic directly at the support table.</w:t>
      </w:r>
    </w:p>
    <w:p>
      <w:pPr>
        <w:spacing w:after="120"/>
      </w:pPr>
      <w:r>
        <w:t xml:space="preserve">In practice, Quick Chat is reliable for quick answers to campaign, deal, and account-level questions. For ticket-level counts and resolution times, the dashboard remains the trusted source, and any figure headed for an executive document should be checked against it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b/>
      <w:bCs/>
      <w:color w:val="1F3864"/>
      <w:sz w:val="30"/>
      <w:szCs w:val="30"/>
    </w:rPr>
  </w:style>
  <w:style w:type="paragraph" w:styleId="Heading2">
    <w:name w:val="Heading 2"/>
    <w:basedOn w:val="Normal"/>
    <w:next w:val="Normal"/>
    <w:qFormat/>
    <w:pPr>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2026-09-28T03:59:13.872Z</dcterms:created>
  <dcterms:modified xsi:type="dcterms:W3CDTF">2026-09-28T03:59:13.882Z</dcterms:modified>
</cp:coreProperties>
</file>

<file path=docProps/custom.xml><?xml version="1.0" encoding="utf-8"?>
<Properties xmlns="http://schemas.openxmlformats.org/officeDocument/2006/custom-properties" xmlns:vt="http://schemas.openxmlformats.org/officeDocument/2006/docPropsVTypes"/>
</file>