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bookmarkStart w:id="0" w:name="_GoBack"/>
      <w:bookmarkEnd w:id="0"/>
      <w:r w:rsidR="00BA566E">
        <w:rPr>
          <w:lang w:val="en-US"/>
        </w:rPr>
        <w:t>, Masurian, Criollo</w:t>
      </w:r>
      <w:r w:rsidR="004D79E9">
        <w:rPr>
          <w:lang w:val="en-US"/>
        </w:rPr>
        <w:t xml:space="preserve">, </w:t>
      </w:r>
      <w:r w:rsidR="00815BE1">
        <w:rPr>
          <w:lang w:val="en-US"/>
        </w:rPr>
        <w:t>Ukrainian</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lastRenderedPageBreak/>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lastRenderedPageBreak/>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Pr="00B909EB"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EDB35-3DB4-4584-A884-FFCE2018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30091</TotalTime>
  <Pages>37</Pages>
  <Words>11725</Words>
  <Characters>66837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1486</cp:revision>
  <dcterms:created xsi:type="dcterms:W3CDTF">2017-10-24T23:16:00Z</dcterms:created>
  <dcterms:modified xsi:type="dcterms:W3CDTF">2020-07-22T23:47:00Z</dcterms:modified>
</cp:coreProperties>
</file>