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Pr="006874D2" w:rsidRDefault="00797543" w:rsidP="006874D2">
      <w:pPr>
        <w:pStyle w:val="ListParagraph"/>
        <w:numPr>
          <w:ilvl w:val="0"/>
          <w:numId w:val="64"/>
        </w:numPr>
        <w:rPr>
          <w:lang w:val="en-US"/>
        </w:rPr>
      </w:pPr>
      <w:r>
        <w:rPr>
          <w:lang w:val="en-US"/>
        </w:rPr>
        <w:t>Disabled fort and railroad 3d models as to increase late game performance</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64E4-F009-4401-9609-3575CFE0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30318</TotalTime>
  <Pages>38</Pages>
  <Words>12194</Words>
  <Characters>69506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1530</cp:revision>
  <dcterms:created xsi:type="dcterms:W3CDTF">2017-10-24T23:16:00Z</dcterms:created>
  <dcterms:modified xsi:type="dcterms:W3CDTF">2020-08-08T19:16:00Z</dcterms:modified>
</cp:coreProperties>
</file>