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441A" w14:textId="77777777" w:rsidR="00000D57" w:rsidRDefault="00000D57"/>
    <w:p w14:paraId="1BA2577D" w14:textId="77777777" w:rsidR="00000D57" w:rsidRDefault="00000D57"/>
    <w:p w14:paraId="3E03192C" w14:textId="77777777" w:rsidR="00000D57" w:rsidRDefault="00000000">
      <w:pPr>
        <w:pStyle w:val="Ttulo"/>
        <w:jc w:val="center"/>
      </w:pPr>
      <w:r>
        <w:t>Lint Report — Acme-Starters-B Level B</w:t>
      </w:r>
    </w:p>
    <w:p w14:paraId="17E980C2" w14:textId="77777777" w:rsidR="00000D57" w:rsidRDefault="00000D57"/>
    <w:p w14:paraId="73FD48CC" w14:textId="77777777" w:rsidR="00000D57" w:rsidRDefault="00000000">
      <w:pPr>
        <w:jc w:val="center"/>
      </w:pPr>
      <w:r>
        <w:t>Date: 2026-05-08</w:t>
      </w:r>
    </w:p>
    <w:p w14:paraId="56DEAE66" w14:textId="77777777" w:rsidR="00000D57" w:rsidRDefault="00000000">
      <w:pPr>
        <w:jc w:val="center"/>
      </w:pPr>
      <w:r>
        <w:t>Group: G058 — University of Seville, DP2</w:t>
      </w:r>
    </w:p>
    <w:p w14:paraId="37D5554C" w14:textId="77777777" w:rsidR="00000D57" w:rsidRDefault="00000000">
      <w:r>
        <w:br w:type="page"/>
      </w:r>
    </w:p>
    <w:p w14:paraId="0E362113" w14:textId="77777777" w:rsidR="00000D57" w:rsidRDefault="00000000">
      <w:pPr>
        <w:pStyle w:val="Ttulo1"/>
      </w:pPr>
      <w:r>
        <w:lastRenderedPageBreak/>
        <w:t>Table of Contents</w:t>
      </w:r>
    </w:p>
    <w:p w14:paraId="4D9F8EEC" w14:textId="77777777" w:rsidR="00000D57" w:rsidRDefault="00000000">
      <w:r>
        <w:t>1. Executive Summary</w:t>
      </w:r>
    </w:p>
    <w:p w14:paraId="7D3AD656" w14:textId="77777777" w:rsidR="00000D57" w:rsidRDefault="00000000">
      <w:r>
        <w:t>2. Revision Table</w:t>
      </w:r>
    </w:p>
    <w:p w14:paraId="553DA2F1" w14:textId="77777777" w:rsidR="00000D57" w:rsidRDefault="00000000">
      <w:r>
        <w:t>3. Introduction</w:t>
      </w:r>
    </w:p>
    <w:p w14:paraId="38A0E193" w14:textId="77777777" w:rsidR="00000D57" w:rsidRDefault="00000000">
      <w:r>
        <w:t>4. Contents</w:t>
      </w:r>
    </w:p>
    <w:p w14:paraId="0EFA9F12" w14:textId="77777777" w:rsidR="00000D57" w:rsidRDefault="00000000">
      <w:r>
        <w:t>4.1 Bad Smells Catalogue</w:t>
      </w:r>
    </w:p>
    <w:p w14:paraId="3FB520C6" w14:textId="77777777" w:rsidR="00000D57" w:rsidRDefault="00000000">
      <w:r>
        <w:t>5. Conclusions</w:t>
      </w:r>
    </w:p>
    <w:p w14:paraId="22B71E5A" w14:textId="77777777" w:rsidR="00000D57" w:rsidRDefault="00000000">
      <w:r>
        <w:t>6. Bibliography</w:t>
      </w:r>
    </w:p>
    <w:p w14:paraId="6614350A" w14:textId="77777777" w:rsidR="00000D57" w:rsidRDefault="00000000">
      <w:r>
        <w:br w:type="page"/>
      </w:r>
    </w:p>
    <w:p w14:paraId="3043B260" w14:textId="77777777" w:rsidR="00000D57" w:rsidRDefault="00000000">
      <w:pPr>
        <w:pStyle w:val="Ttulo1"/>
      </w:pPr>
      <w:r>
        <w:lastRenderedPageBreak/>
        <w:t>1. Executive Summary</w:t>
      </w:r>
    </w:p>
    <w:p w14:paraId="301EDC60" w14:textId="77777777" w:rsidR="00000D57" w:rsidRDefault="00000000">
      <w:r>
        <w:t>This report documents the results of a static code analysis (linting) of the Acme-Starters-B Level B codebase. The analysis was performed using SonarLint and a manual code review. A total of nine minor bad smells were identified, all of which are explained by the Acme Framework's design patterns and are therefore innocuous. No major or critical issues were found in the student-written code. All validation message keys are properly defined in the corresponding i18n files and no missing translations were detected.</w:t>
      </w:r>
    </w:p>
    <w:p w14:paraId="2AF91E00" w14:textId="77777777" w:rsidR="00000D57" w:rsidRDefault="00000D57"/>
    <w:p w14:paraId="3200B8A6" w14:textId="77777777" w:rsidR="00000D57" w:rsidRDefault="00000000">
      <w:pPr>
        <w:pStyle w:val="Ttulo2"/>
      </w:pPr>
      <w:r>
        <w:t>Revision Table</w:t>
      </w:r>
    </w:p>
    <w:tbl>
      <w:tblPr>
        <w:tblStyle w:val="Tablaconcuadrcula"/>
        <w:tblW w:w="0" w:type="auto"/>
        <w:tblLook w:val="04A0" w:firstRow="1" w:lastRow="0" w:firstColumn="1" w:lastColumn="0" w:noHBand="0" w:noVBand="1"/>
      </w:tblPr>
      <w:tblGrid>
        <w:gridCol w:w="2880"/>
        <w:gridCol w:w="2880"/>
        <w:gridCol w:w="2880"/>
      </w:tblGrid>
      <w:tr w:rsidR="00000D57" w14:paraId="522FAACD" w14:textId="77777777">
        <w:tc>
          <w:tcPr>
            <w:tcW w:w="2880" w:type="dxa"/>
          </w:tcPr>
          <w:p w14:paraId="60B87931" w14:textId="77777777" w:rsidR="00000D57" w:rsidRDefault="00000000">
            <w:r>
              <w:rPr>
                <w:b/>
              </w:rPr>
              <w:t>Revision</w:t>
            </w:r>
          </w:p>
        </w:tc>
        <w:tc>
          <w:tcPr>
            <w:tcW w:w="2880" w:type="dxa"/>
          </w:tcPr>
          <w:p w14:paraId="200E322E" w14:textId="77777777" w:rsidR="00000D57" w:rsidRDefault="00000000">
            <w:r>
              <w:rPr>
                <w:b/>
              </w:rPr>
              <w:t>Date</w:t>
            </w:r>
          </w:p>
        </w:tc>
        <w:tc>
          <w:tcPr>
            <w:tcW w:w="2880" w:type="dxa"/>
          </w:tcPr>
          <w:p w14:paraId="5BA7DF55" w14:textId="77777777" w:rsidR="00000D57" w:rsidRDefault="00000000">
            <w:r>
              <w:rPr>
                <w:b/>
              </w:rPr>
              <w:t>Description</w:t>
            </w:r>
          </w:p>
        </w:tc>
      </w:tr>
      <w:tr w:rsidR="00000D57" w14:paraId="1A49A60D" w14:textId="77777777">
        <w:tc>
          <w:tcPr>
            <w:tcW w:w="2880" w:type="dxa"/>
          </w:tcPr>
          <w:p w14:paraId="09B85C08" w14:textId="77777777" w:rsidR="00000D57" w:rsidRDefault="00000D57"/>
        </w:tc>
        <w:tc>
          <w:tcPr>
            <w:tcW w:w="2880" w:type="dxa"/>
          </w:tcPr>
          <w:p w14:paraId="00AF656B" w14:textId="77777777" w:rsidR="00000D57" w:rsidRDefault="00000D57"/>
        </w:tc>
        <w:tc>
          <w:tcPr>
            <w:tcW w:w="2880" w:type="dxa"/>
          </w:tcPr>
          <w:p w14:paraId="63D26A6C" w14:textId="77777777" w:rsidR="00000D57" w:rsidRDefault="00000D57"/>
        </w:tc>
      </w:tr>
      <w:tr w:rsidR="00000D57" w14:paraId="2BFE4A26" w14:textId="77777777">
        <w:tc>
          <w:tcPr>
            <w:tcW w:w="2880" w:type="dxa"/>
          </w:tcPr>
          <w:p w14:paraId="1674067C" w14:textId="77777777" w:rsidR="00000D57" w:rsidRDefault="00000000">
            <w:r>
              <w:t>1.0</w:t>
            </w:r>
          </w:p>
        </w:tc>
        <w:tc>
          <w:tcPr>
            <w:tcW w:w="2880" w:type="dxa"/>
          </w:tcPr>
          <w:p w14:paraId="7C297AA4" w14:textId="77777777" w:rsidR="00000D57" w:rsidRDefault="00000000">
            <w:r>
              <w:t>2026-05-08</w:t>
            </w:r>
          </w:p>
        </w:tc>
        <w:tc>
          <w:tcPr>
            <w:tcW w:w="2880" w:type="dxa"/>
          </w:tcPr>
          <w:p w14:paraId="5E52DD3D" w14:textId="77777777" w:rsidR="00000D57" w:rsidRDefault="00000000">
            <w:r>
              <w:t>Initial version</w:t>
            </w:r>
          </w:p>
        </w:tc>
      </w:tr>
    </w:tbl>
    <w:p w14:paraId="556F573D" w14:textId="77777777" w:rsidR="00000D57" w:rsidRDefault="00000D57"/>
    <w:p w14:paraId="2B72AB49" w14:textId="77777777" w:rsidR="00000D57" w:rsidRDefault="00000000">
      <w:pPr>
        <w:pStyle w:val="Ttulo1"/>
      </w:pPr>
      <w:r>
        <w:t>3. Introduction</w:t>
      </w:r>
    </w:p>
    <w:p w14:paraId="6921C71D" w14:textId="77777777" w:rsidR="00000D57" w:rsidRDefault="00000000">
      <w:r>
        <w:t>Linting a project involves locating bad smells — patterns that might indicate the presence of bugs — without executing the code. The purpose of this report is to document the bad smells found in the Acme-Starters-B Level B codebase and to justify why each one is innocuous, as required by the customer's auditor. The analysis was carried out using SonarLint integrated into Eclipse IDE and a complementary manual review of the code. Bad smells originating from the Acme Framework's own source code are ignored in accordance with the guidelines. The report is structured as follows: Section 4 provides the full bad-smell catalogue with individual assessments, and Section 5 summarises the conclusions.</w:t>
      </w:r>
    </w:p>
    <w:p w14:paraId="4FE09B32" w14:textId="77777777" w:rsidR="00000D57" w:rsidRDefault="00000D57"/>
    <w:p w14:paraId="76AEAA12" w14:textId="77777777" w:rsidR="00000D57" w:rsidRDefault="00000000">
      <w:pPr>
        <w:pStyle w:val="Ttulo1"/>
      </w:pPr>
      <w:r>
        <w:t>4. Contents</w:t>
      </w:r>
    </w:p>
    <w:p w14:paraId="25BF7DBC" w14:textId="77777777" w:rsidR="00000D57" w:rsidRDefault="00000000">
      <w:pPr>
        <w:pStyle w:val="Ttulo2"/>
      </w:pPr>
      <w:r>
        <w:t>4.1 Bad Smells Catalogue</w:t>
      </w:r>
    </w:p>
    <w:p w14:paraId="3E475F40" w14:textId="77777777" w:rsidR="00000D57" w:rsidRDefault="00000000">
      <w:r>
        <w:t>The following table lists every bad smell detected by SonarLint and the manual review. Smells from the Acme Framework internals are excluded. For each smell, the affected file, severity (as reported by SonarLint), and a justification for its innocuousness are provided.</w:t>
      </w:r>
    </w:p>
    <w:p w14:paraId="531DFECE" w14:textId="77777777" w:rsidR="00000D57" w:rsidRDefault="00000D57"/>
    <w:tbl>
      <w:tblPr>
        <w:tblStyle w:val="Tablaconcuadrcula"/>
        <w:tblW w:w="10774" w:type="dxa"/>
        <w:tblInd w:w="-885" w:type="dxa"/>
        <w:tblLayout w:type="fixed"/>
        <w:tblLook w:val="04A0" w:firstRow="1" w:lastRow="0" w:firstColumn="1" w:lastColumn="0" w:noHBand="0" w:noVBand="1"/>
      </w:tblPr>
      <w:tblGrid>
        <w:gridCol w:w="567"/>
        <w:gridCol w:w="1135"/>
        <w:gridCol w:w="1559"/>
        <w:gridCol w:w="2977"/>
        <w:gridCol w:w="4536"/>
      </w:tblGrid>
      <w:tr w:rsidR="00000D57" w14:paraId="04A2A466" w14:textId="77777777" w:rsidTr="0023407F">
        <w:tc>
          <w:tcPr>
            <w:tcW w:w="567" w:type="dxa"/>
          </w:tcPr>
          <w:p w14:paraId="40C4F589" w14:textId="77777777" w:rsidR="00000D57" w:rsidRDefault="00000000">
            <w:r>
              <w:rPr>
                <w:b/>
              </w:rPr>
              <w:t>ID</w:t>
            </w:r>
          </w:p>
        </w:tc>
        <w:tc>
          <w:tcPr>
            <w:tcW w:w="1135" w:type="dxa"/>
          </w:tcPr>
          <w:p w14:paraId="5F0C544C" w14:textId="77777777" w:rsidR="00000D57" w:rsidRDefault="00000000">
            <w:r>
              <w:rPr>
                <w:b/>
              </w:rPr>
              <w:t>Severity</w:t>
            </w:r>
          </w:p>
        </w:tc>
        <w:tc>
          <w:tcPr>
            <w:tcW w:w="1559" w:type="dxa"/>
          </w:tcPr>
          <w:p w14:paraId="770AC50B" w14:textId="77777777" w:rsidR="00000D57" w:rsidRDefault="00000000">
            <w:r>
              <w:rPr>
                <w:b/>
              </w:rPr>
              <w:t>File</w:t>
            </w:r>
          </w:p>
        </w:tc>
        <w:tc>
          <w:tcPr>
            <w:tcW w:w="2977" w:type="dxa"/>
          </w:tcPr>
          <w:p w14:paraId="7336243D" w14:textId="77777777" w:rsidR="00000D57" w:rsidRDefault="00000000">
            <w:r>
              <w:rPr>
                <w:b/>
              </w:rPr>
              <w:t>Description</w:t>
            </w:r>
          </w:p>
        </w:tc>
        <w:tc>
          <w:tcPr>
            <w:tcW w:w="4536" w:type="dxa"/>
          </w:tcPr>
          <w:p w14:paraId="7F193211" w14:textId="77777777" w:rsidR="00000D57" w:rsidRDefault="00000000">
            <w:r>
              <w:rPr>
                <w:b/>
              </w:rPr>
              <w:t>Assessment</w:t>
            </w:r>
          </w:p>
        </w:tc>
      </w:tr>
      <w:tr w:rsidR="00000D57" w14:paraId="4BD565F6" w14:textId="77777777" w:rsidTr="0023407F">
        <w:tc>
          <w:tcPr>
            <w:tcW w:w="567" w:type="dxa"/>
          </w:tcPr>
          <w:p w14:paraId="6E899805" w14:textId="77777777" w:rsidR="00000D57" w:rsidRDefault="00000000">
            <w:r>
              <w:t>BS-01</w:t>
            </w:r>
          </w:p>
        </w:tc>
        <w:tc>
          <w:tcPr>
            <w:tcW w:w="1135" w:type="dxa"/>
          </w:tcPr>
          <w:p w14:paraId="2F99F626" w14:textId="77777777" w:rsidR="00000D57" w:rsidRDefault="00000000">
            <w:r>
              <w:t>Minor</w:t>
            </w:r>
          </w:p>
        </w:tc>
        <w:tc>
          <w:tcPr>
            <w:tcW w:w="1559" w:type="dxa"/>
          </w:tcPr>
          <w:p w14:paraId="4084CCDF" w14:textId="77777777" w:rsidR="00000D57" w:rsidRDefault="00000000" w:rsidP="0023407F">
            <w:r>
              <w:t>acme/entities/</w:t>
            </w:r>
            <w:proofErr w:type="spellStart"/>
            <w:r>
              <w:t>auditReport</w:t>
            </w:r>
            <w:proofErr w:type="spellEnd"/>
            <w:r>
              <w:t>/AuditReport.java</w:t>
            </w:r>
          </w:p>
        </w:tc>
        <w:tc>
          <w:tcPr>
            <w:tcW w:w="2977" w:type="dxa"/>
          </w:tcPr>
          <w:p w14:paraId="41B46246" w14:textId="77777777" w:rsidR="00000D57" w:rsidRDefault="00000000">
            <w:r>
              <w:t>@Transient + @Autowired field coexistence (serializable non-transient field warning)</w:t>
            </w:r>
          </w:p>
        </w:tc>
        <w:tc>
          <w:tcPr>
            <w:tcW w:w="4536" w:type="dxa"/>
          </w:tcPr>
          <w:p w14:paraId="402AFA69" w14:textId="77777777" w:rsidR="00000D57" w:rsidRDefault="00000000">
            <w:r>
              <w:t xml:space="preserve">The Acme Framework requires repository dependencies to be injected into entity classes via @Autowired and then excluded from persistence using @Transient. SonarLint flags this pattern as a potential serialization issue, but the framework guarantees that </w:t>
            </w:r>
            <w:r>
              <w:lastRenderedPageBreak/>
              <w:t>these fields are never serialized as JPA entities; they are only used within the Spring context. This is a deliberate, documented framework design pattern and does not hide any bug.</w:t>
            </w:r>
          </w:p>
        </w:tc>
      </w:tr>
      <w:tr w:rsidR="00000D57" w14:paraId="52E2ABAF" w14:textId="77777777" w:rsidTr="0023407F">
        <w:tc>
          <w:tcPr>
            <w:tcW w:w="567" w:type="dxa"/>
          </w:tcPr>
          <w:p w14:paraId="54B563B6" w14:textId="77777777" w:rsidR="00000D57" w:rsidRDefault="00000000">
            <w:r>
              <w:lastRenderedPageBreak/>
              <w:t>BS-02</w:t>
            </w:r>
          </w:p>
        </w:tc>
        <w:tc>
          <w:tcPr>
            <w:tcW w:w="1135" w:type="dxa"/>
          </w:tcPr>
          <w:p w14:paraId="4DBF12AF" w14:textId="77777777" w:rsidR="00000D57" w:rsidRDefault="00000000">
            <w:r>
              <w:t>Minor</w:t>
            </w:r>
          </w:p>
        </w:tc>
        <w:tc>
          <w:tcPr>
            <w:tcW w:w="1559" w:type="dxa"/>
          </w:tcPr>
          <w:p w14:paraId="363CAE0C" w14:textId="77777777" w:rsidR="00000D57" w:rsidRDefault="00000000">
            <w:r>
              <w:t>acme/entities/campaign/Campaign.java</w:t>
            </w:r>
          </w:p>
        </w:tc>
        <w:tc>
          <w:tcPr>
            <w:tcW w:w="2977" w:type="dxa"/>
          </w:tcPr>
          <w:p w14:paraId="50EDE078" w14:textId="77777777" w:rsidR="00000D57" w:rsidRDefault="00000000">
            <w:r>
              <w:t>@Transient + @Autowired field coexistence</w:t>
            </w:r>
          </w:p>
        </w:tc>
        <w:tc>
          <w:tcPr>
            <w:tcW w:w="4536" w:type="dxa"/>
          </w:tcPr>
          <w:p w14:paraId="50C93AD4" w14:textId="77777777" w:rsidR="00000D57" w:rsidRDefault="00000000">
            <w:r>
              <w:t>Same as BS-01. The Campaign entity injects a repository via @Autowired/@Transient to compute derived attributes. Innocuous by the same reasoning.</w:t>
            </w:r>
          </w:p>
        </w:tc>
      </w:tr>
      <w:tr w:rsidR="00000D57" w14:paraId="2CD772FA" w14:textId="77777777" w:rsidTr="0023407F">
        <w:tc>
          <w:tcPr>
            <w:tcW w:w="567" w:type="dxa"/>
          </w:tcPr>
          <w:p w14:paraId="5CE13C27" w14:textId="77777777" w:rsidR="00000D57" w:rsidRDefault="00000000">
            <w:r>
              <w:t>BS-03</w:t>
            </w:r>
          </w:p>
        </w:tc>
        <w:tc>
          <w:tcPr>
            <w:tcW w:w="1135" w:type="dxa"/>
          </w:tcPr>
          <w:p w14:paraId="47CD8D5E" w14:textId="77777777" w:rsidR="00000D57" w:rsidRDefault="00000000">
            <w:r>
              <w:t>Minor</w:t>
            </w:r>
          </w:p>
        </w:tc>
        <w:tc>
          <w:tcPr>
            <w:tcW w:w="1559" w:type="dxa"/>
          </w:tcPr>
          <w:p w14:paraId="33B529E3" w14:textId="77777777" w:rsidR="00000D57" w:rsidRDefault="00000000">
            <w:r>
              <w:t>acme/entities/invention/Invention.java</w:t>
            </w:r>
          </w:p>
        </w:tc>
        <w:tc>
          <w:tcPr>
            <w:tcW w:w="2977" w:type="dxa"/>
          </w:tcPr>
          <w:p w14:paraId="4814C208" w14:textId="77777777" w:rsidR="00000D57" w:rsidRDefault="00000000">
            <w:r>
              <w:t>@Transient + @Autowired field coexistence</w:t>
            </w:r>
          </w:p>
        </w:tc>
        <w:tc>
          <w:tcPr>
            <w:tcW w:w="4536" w:type="dxa"/>
          </w:tcPr>
          <w:p w14:paraId="5F647B34" w14:textId="77777777" w:rsidR="00000D57" w:rsidRDefault="00000000">
            <w:r>
              <w:t>Same as BS-01. Innocuous.</w:t>
            </w:r>
          </w:p>
        </w:tc>
      </w:tr>
      <w:tr w:rsidR="00000D57" w14:paraId="01D625EC" w14:textId="77777777" w:rsidTr="0023407F">
        <w:tc>
          <w:tcPr>
            <w:tcW w:w="567" w:type="dxa"/>
          </w:tcPr>
          <w:p w14:paraId="6062A8AD" w14:textId="77777777" w:rsidR="00000D57" w:rsidRDefault="00000000">
            <w:r>
              <w:t>BS-04</w:t>
            </w:r>
          </w:p>
        </w:tc>
        <w:tc>
          <w:tcPr>
            <w:tcW w:w="1135" w:type="dxa"/>
          </w:tcPr>
          <w:p w14:paraId="43EDD61B" w14:textId="77777777" w:rsidR="00000D57" w:rsidRDefault="00000000">
            <w:r>
              <w:t>Minor</w:t>
            </w:r>
          </w:p>
        </w:tc>
        <w:tc>
          <w:tcPr>
            <w:tcW w:w="1559" w:type="dxa"/>
          </w:tcPr>
          <w:p w14:paraId="163B9ACF" w14:textId="77777777" w:rsidR="00000D57" w:rsidRDefault="00000000">
            <w:r>
              <w:t>acme/entities/project/Project.java</w:t>
            </w:r>
          </w:p>
        </w:tc>
        <w:tc>
          <w:tcPr>
            <w:tcW w:w="2977" w:type="dxa"/>
          </w:tcPr>
          <w:p w14:paraId="07AEB83E" w14:textId="77777777" w:rsidR="00000D57" w:rsidRDefault="00000000">
            <w:r>
              <w:t>@Transient + @Autowired field coexistence</w:t>
            </w:r>
          </w:p>
        </w:tc>
        <w:tc>
          <w:tcPr>
            <w:tcW w:w="4536" w:type="dxa"/>
          </w:tcPr>
          <w:p w14:paraId="54DEC91C" w14:textId="77777777" w:rsidR="00000D57" w:rsidRDefault="00000000">
            <w:r>
              <w:t>Same as BS-01. Innocuous.</w:t>
            </w:r>
          </w:p>
        </w:tc>
      </w:tr>
      <w:tr w:rsidR="00000D57" w14:paraId="1A3DBAE2" w14:textId="77777777" w:rsidTr="0023407F">
        <w:tc>
          <w:tcPr>
            <w:tcW w:w="567" w:type="dxa"/>
          </w:tcPr>
          <w:p w14:paraId="0F796DAF" w14:textId="77777777" w:rsidR="00000D57" w:rsidRDefault="00000000">
            <w:r>
              <w:t>BS-05</w:t>
            </w:r>
          </w:p>
        </w:tc>
        <w:tc>
          <w:tcPr>
            <w:tcW w:w="1135" w:type="dxa"/>
          </w:tcPr>
          <w:p w14:paraId="407186BA" w14:textId="77777777" w:rsidR="00000D57" w:rsidRDefault="00000000">
            <w:r>
              <w:t>Minor</w:t>
            </w:r>
          </w:p>
        </w:tc>
        <w:tc>
          <w:tcPr>
            <w:tcW w:w="1559" w:type="dxa"/>
          </w:tcPr>
          <w:p w14:paraId="5E4A683B" w14:textId="77777777" w:rsidR="00000D57" w:rsidRDefault="00000000">
            <w:r>
              <w:t>acme/entities/sponsorship/Sponsorship.java</w:t>
            </w:r>
          </w:p>
        </w:tc>
        <w:tc>
          <w:tcPr>
            <w:tcW w:w="2977" w:type="dxa"/>
          </w:tcPr>
          <w:p w14:paraId="678D9764" w14:textId="77777777" w:rsidR="00000D57" w:rsidRDefault="00000000">
            <w:r>
              <w:t>@Transient + @Autowired field coexistence</w:t>
            </w:r>
          </w:p>
        </w:tc>
        <w:tc>
          <w:tcPr>
            <w:tcW w:w="4536" w:type="dxa"/>
          </w:tcPr>
          <w:p w14:paraId="3DF5D01D" w14:textId="77777777" w:rsidR="00000D57" w:rsidRDefault="00000000">
            <w:r>
              <w:t>Same as BS-01. Innocuous.</w:t>
            </w:r>
          </w:p>
        </w:tc>
      </w:tr>
      <w:tr w:rsidR="00000D57" w14:paraId="518DF42D" w14:textId="77777777" w:rsidTr="0023407F">
        <w:tc>
          <w:tcPr>
            <w:tcW w:w="567" w:type="dxa"/>
          </w:tcPr>
          <w:p w14:paraId="4D373B7B" w14:textId="77777777" w:rsidR="00000D57" w:rsidRDefault="00000000">
            <w:r>
              <w:t>BS-06</w:t>
            </w:r>
          </w:p>
        </w:tc>
        <w:tc>
          <w:tcPr>
            <w:tcW w:w="1135" w:type="dxa"/>
          </w:tcPr>
          <w:p w14:paraId="5AF1AD2E" w14:textId="77777777" w:rsidR="00000D57" w:rsidRDefault="00000000">
            <w:r>
              <w:t>Minor</w:t>
            </w:r>
          </w:p>
        </w:tc>
        <w:tc>
          <w:tcPr>
            <w:tcW w:w="1559" w:type="dxa"/>
          </w:tcPr>
          <w:p w14:paraId="048DB334" w14:textId="77777777" w:rsidR="00000D57" w:rsidRDefault="00000000">
            <w:r>
              <w:t>acme/entities/strategies/Strategy.java</w:t>
            </w:r>
          </w:p>
        </w:tc>
        <w:tc>
          <w:tcPr>
            <w:tcW w:w="2977" w:type="dxa"/>
          </w:tcPr>
          <w:p w14:paraId="4B207E2C" w14:textId="77777777" w:rsidR="00000D57" w:rsidRDefault="00000000">
            <w:r>
              <w:t>@Transient + @Autowired field coexistence</w:t>
            </w:r>
          </w:p>
        </w:tc>
        <w:tc>
          <w:tcPr>
            <w:tcW w:w="4536" w:type="dxa"/>
          </w:tcPr>
          <w:p w14:paraId="3895453D" w14:textId="77777777" w:rsidR="00000D57" w:rsidRDefault="00000000">
            <w:r>
              <w:t>Same as BS-01. Innocuous.</w:t>
            </w:r>
          </w:p>
        </w:tc>
      </w:tr>
      <w:tr w:rsidR="00000D57" w14:paraId="3ADDC7F3" w14:textId="77777777" w:rsidTr="0023407F">
        <w:tc>
          <w:tcPr>
            <w:tcW w:w="567" w:type="dxa"/>
          </w:tcPr>
          <w:p w14:paraId="4DDD32F8" w14:textId="77777777" w:rsidR="00000D57" w:rsidRDefault="00000000">
            <w:r>
              <w:t>BS-07</w:t>
            </w:r>
          </w:p>
        </w:tc>
        <w:tc>
          <w:tcPr>
            <w:tcW w:w="1135" w:type="dxa"/>
          </w:tcPr>
          <w:p w14:paraId="39F93F04" w14:textId="77777777" w:rsidR="00000D57" w:rsidRDefault="00000000">
            <w:r>
              <w:t>Minor</w:t>
            </w:r>
          </w:p>
        </w:tc>
        <w:tc>
          <w:tcPr>
            <w:tcW w:w="1559" w:type="dxa"/>
          </w:tcPr>
          <w:p w14:paraId="29F35E03" w14:textId="77777777" w:rsidR="00000D57" w:rsidRDefault="00000000">
            <w:r>
              <w:t>acme/features/manager/dashboard/ManagerDashboardShowService.java</w:t>
            </w:r>
          </w:p>
        </w:tc>
        <w:tc>
          <w:tcPr>
            <w:tcW w:w="2977" w:type="dxa"/>
          </w:tcPr>
          <w:p w14:paraId="786A5F98" w14:textId="77777777" w:rsidR="00000D57" w:rsidRDefault="00000000">
            <w:r>
              <w:t>@Transient + @Autowired field coexistence</w:t>
            </w:r>
          </w:p>
        </w:tc>
        <w:tc>
          <w:tcPr>
            <w:tcW w:w="4536" w:type="dxa"/>
          </w:tcPr>
          <w:p w14:paraId="23E24780" w14:textId="77777777" w:rsidR="00000D57" w:rsidRDefault="00000000">
            <w:r>
              <w:t>The Dashboard service uses @Autowired/@Transient to access multiple repositories needed for computing metrics. This is an accepted pattern in the Acme Framework for service classes. Innocuous.</w:t>
            </w:r>
          </w:p>
        </w:tc>
      </w:tr>
      <w:tr w:rsidR="00000D57" w14:paraId="33144444" w14:textId="77777777" w:rsidTr="0023407F">
        <w:tc>
          <w:tcPr>
            <w:tcW w:w="567" w:type="dxa"/>
          </w:tcPr>
          <w:p w14:paraId="694C95EF" w14:textId="77777777" w:rsidR="00000D57" w:rsidRDefault="00000000">
            <w:r>
              <w:t>BS-08</w:t>
            </w:r>
          </w:p>
        </w:tc>
        <w:tc>
          <w:tcPr>
            <w:tcW w:w="1135" w:type="dxa"/>
          </w:tcPr>
          <w:p w14:paraId="3A20D7CD" w14:textId="77777777" w:rsidR="00000D57" w:rsidRDefault="00000000">
            <w:r>
              <w:t>Minor</w:t>
            </w:r>
          </w:p>
        </w:tc>
        <w:tc>
          <w:tcPr>
            <w:tcW w:w="1559" w:type="dxa"/>
          </w:tcPr>
          <w:p w14:paraId="1903B57B" w14:textId="77777777" w:rsidR="00000D57" w:rsidRDefault="00000000">
            <w:r>
              <w:t>acme/features/manager/membership/ManagerProjectMembershipListService.java</w:t>
            </w:r>
          </w:p>
        </w:tc>
        <w:tc>
          <w:tcPr>
            <w:tcW w:w="2977" w:type="dxa"/>
          </w:tcPr>
          <w:p w14:paraId="3E55F9A3" w14:textId="77777777" w:rsidR="00000D57" w:rsidRDefault="00000000">
            <w:r>
              <w:t>@Transient + @Autowired field coexistence</w:t>
            </w:r>
          </w:p>
        </w:tc>
        <w:tc>
          <w:tcPr>
            <w:tcW w:w="4536" w:type="dxa"/>
          </w:tcPr>
          <w:p w14:paraId="0356C6C6" w14:textId="77777777" w:rsidR="00000D57" w:rsidRDefault="00000000">
            <w:r>
              <w:t>Same reasoning as BS-07. The membership listing service requires multiple repository injections to filter eligible users. Innocuous.</w:t>
            </w:r>
          </w:p>
        </w:tc>
      </w:tr>
      <w:tr w:rsidR="00000D57" w14:paraId="16D78490" w14:textId="77777777" w:rsidTr="0023407F">
        <w:tc>
          <w:tcPr>
            <w:tcW w:w="567" w:type="dxa"/>
          </w:tcPr>
          <w:p w14:paraId="2B8BB03B" w14:textId="77777777" w:rsidR="00000D57" w:rsidRDefault="00000000">
            <w:r>
              <w:t>BS-09</w:t>
            </w:r>
          </w:p>
        </w:tc>
        <w:tc>
          <w:tcPr>
            <w:tcW w:w="1135" w:type="dxa"/>
          </w:tcPr>
          <w:p w14:paraId="28F4A4DF" w14:textId="77777777" w:rsidR="00000D57" w:rsidRDefault="00000000">
            <w:r>
              <w:t>Minor</w:t>
            </w:r>
          </w:p>
        </w:tc>
        <w:tc>
          <w:tcPr>
            <w:tcW w:w="1559" w:type="dxa"/>
          </w:tcPr>
          <w:p w14:paraId="4C65C5E5" w14:textId="77777777" w:rsidR="00000D57" w:rsidRDefault="00000000">
            <w:r>
              <w:t>acme/features/manager/membership/ManagerProjectMembershipShowService.java</w:t>
            </w:r>
          </w:p>
        </w:tc>
        <w:tc>
          <w:tcPr>
            <w:tcW w:w="2977" w:type="dxa"/>
          </w:tcPr>
          <w:p w14:paraId="7765B595" w14:textId="77777777" w:rsidR="00000D57" w:rsidRDefault="00000000">
            <w:r>
              <w:t>@Transient + @Autowired field coexistence</w:t>
            </w:r>
          </w:p>
        </w:tc>
        <w:tc>
          <w:tcPr>
            <w:tcW w:w="4536" w:type="dxa"/>
          </w:tcPr>
          <w:p w14:paraId="13F41BB4" w14:textId="77777777" w:rsidR="00000D57" w:rsidRDefault="00000000">
            <w:r>
              <w:t>Same as BS-08. Innocuous.</w:t>
            </w:r>
          </w:p>
        </w:tc>
      </w:tr>
    </w:tbl>
    <w:p w14:paraId="65053651" w14:textId="77777777" w:rsidR="00000D57" w:rsidRDefault="00000D57"/>
    <w:p w14:paraId="1401AF80" w14:textId="77777777" w:rsidR="00000D57" w:rsidRDefault="00000000">
      <w:pPr>
        <w:pStyle w:val="Ttulo2"/>
      </w:pPr>
      <w:r>
        <w:t>4.2 i18n Key Consistency Analysis</w:t>
      </w:r>
    </w:p>
    <w:p w14:paraId="1FB66E76" w14:textId="77777777" w:rsidR="00000D57" w:rsidRDefault="00000000">
      <w:r>
        <w:t xml:space="preserve">As a complement to the SonarLint analysis, the check-i18n tool was used to verify that all validation message keys referenced in the Java source code are properly defined in the corresponding i18n resource files (validation-en.i18n and validation-es.i18n). The result was fully consistent: all 41 keys used in service and validator classes are defined in both </w:t>
      </w:r>
      <w:r>
        <w:lastRenderedPageBreak/>
        <w:t>language files. Five additional keys were found defined but not directly referenced in Java code (acme.validation.header.message, acme.validation.text.message, acme.validation.ticker.message, acme.validation.money.amount.error, acme.validation.campaign.effort-not-positive); these are used by constraint annotations (@ValidHeader, @ValidText, @ValidTicker, @ValidMoney, @ValidCampaign) rather than by explicit super.state() calls, so their presence is correct and expected.</w:t>
      </w:r>
    </w:p>
    <w:p w14:paraId="34B857BF" w14:textId="77777777" w:rsidR="00000D57" w:rsidRDefault="00000D57"/>
    <w:p w14:paraId="1F0AFAAD" w14:textId="77777777" w:rsidR="00000D57" w:rsidRDefault="00000000">
      <w:pPr>
        <w:pStyle w:val="Ttulo1"/>
      </w:pPr>
      <w:r>
        <w:t>5. Conclusions</w:t>
      </w:r>
    </w:p>
    <w:p w14:paraId="033F92D9" w14:textId="77777777" w:rsidR="00000D57" w:rsidRDefault="00000000">
      <w:r>
        <w:t>The static analysis of the Acme-Starters-B Level B codebase found nine minor bad smells, all of which are attributable to the @Transient + @Autowired design pattern mandated by the Acme Framework for injecting repository dependencies into entity and service classes. This pattern is innocuous because: (a) it is explicitly required by the framework to enable derived-attribute computation; (b) the @Transient annotation correctly excludes these fields from JPA persistence; and (c) no actual serialization of these objects ever occurs in the application. The i18n key consistency check returned zero errors. No other bad smells, no empty catch blocks, no System.out usage, and no TODO/FIXME comments were found in the student-written source code. The codebase is considered lint-clean at the level expected for Level B.</w:t>
      </w:r>
    </w:p>
    <w:p w14:paraId="38F133B3" w14:textId="77777777" w:rsidR="00000D57" w:rsidRDefault="00000D57"/>
    <w:p w14:paraId="18591B98" w14:textId="77777777" w:rsidR="00000D57" w:rsidRDefault="00000000">
      <w:pPr>
        <w:pStyle w:val="Ttulo1"/>
      </w:pPr>
      <w:r>
        <w:t>6. Bibliography</w:t>
      </w:r>
    </w:p>
    <w:p w14:paraId="2D845E3A" w14:textId="77777777" w:rsidR="00000D57" w:rsidRDefault="00000000">
      <w:r>
        <w:t>Intentionally blank.</w:t>
      </w:r>
    </w:p>
    <w:sectPr w:rsidR="00000D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673787">
    <w:abstractNumId w:val="8"/>
  </w:num>
  <w:num w:numId="2" w16cid:durableId="1139225608">
    <w:abstractNumId w:val="6"/>
  </w:num>
  <w:num w:numId="3" w16cid:durableId="189491697">
    <w:abstractNumId w:val="5"/>
  </w:num>
  <w:num w:numId="4" w16cid:durableId="824660127">
    <w:abstractNumId w:val="4"/>
  </w:num>
  <w:num w:numId="5" w16cid:durableId="424687288">
    <w:abstractNumId w:val="7"/>
  </w:num>
  <w:num w:numId="6" w16cid:durableId="629433596">
    <w:abstractNumId w:val="3"/>
  </w:num>
  <w:num w:numId="7" w16cid:durableId="342778728">
    <w:abstractNumId w:val="2"/>
  </w:num>
  <w:num w:numId="8" w16cid:durableId="1747146625">
    <w:abstractNumId w:val="1"/>
  </w:num>
  <w:num w:numId="9" w16cid:durableId="58310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57"/>
    <w:rsid w:val="00034616"/>
    <w:rsid w:val="0006063C"/>
    <w:rsid w:val="0015074B"/>
    <w:rsid w:val="0023407F"/>
    <w:rsid w:val="0029639D"/>
    <w:rsid w:val="00326F90"/>
    <w:rsid w:val="004431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19A1F"/>
  <w14:defaultImageDpi w14:val="300"/>
  <w15:docId w15:val="{8C7AFC98-30CE-4D42-8A5B-F2206DD40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876</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PARRILLA GENIZ</cp:lastModifiedBy>
  <cp:revision>3</cp:revision>
  <dcterms:created xsi:type="dcterms:W3CDTF">2013-12-23T23:15:00Z</dcterms:created>
  <dcterms:modified xsi:type="dcterms:W3CDTF">2026-05-08T15:56:00Z</dcterms:modified>
  <cp:category/>
</cp:coreProperties>
</file>