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df" ContentType="application/pdf"/>
  <Override PartName="/word/media/rId33.pdf" ContentType="application/pdf"/>
  <Override PartName="/word/media/rId37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Price of Conservatism in Cloud Optimization: Empirical Evidence from Right-Sizing and Reservation Heuristics</w:t>
      </w:r>
    </w:p>
    <w:p>
      <w:pPr>
        <w:pStyle w:val="FirstParagraph"/>
      </w:pPr>
      <w:r>
        <w:rPr>
          <w:b/>
          <w:bCs/>
        </w:rPr>
        <w:t xml:space="preserve">Ibrahim Mohamed, Mariam Emad, Hazem Ibrahim, Ahmed Sameh, Mahmoud Ahmed, John Ehab</w:t>
      </w:r>
      <w:r>
        <w:br/>
      </w:r>
      <w:r>
        <w:rPr>
          <w:i/>
          <w:iCs/>
          <w:sz w:val="18"/>
          <w:szCs w:val="18"/>
        </w:rPr>
        <w:t xml:space="preserve">Academic supervision and project support: Dr. Hafez Seliem, Mohamed Essam, and Saif AlDeen Sameh.</w:t>
      </w:r>
      <w:r>
        <w:br/>
      </w:r>
      <w:r>
        <w:t xml:space="preserve">All authors: Department of Computer Systems</w:t>
      </w:r>
      <w:r>
        <w:br/>
      </w:r>
      <w:r>
        <w:t xml:space="preserve">Faculty of Computer Science</w:t>
      </w:r>
      <w:r>
        <w:br/>
      </w:r>
      <w:r>
        <w:t xml:space="preserve">Ain Shams University</w:t>
      </w:r>
      <w:r>
        <w:br/>
      </w:r>
      <w:r>
        <w:t xml:space="preserve">Cairo, Egypt</w:t>
      </w:r>
    </w:p>
    <w:bookmarkStart w:id="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Reported production right-sizing systems size resources from high</w:t>
      </w:r>
      <w:r>
        <w:t xml:space="preserve"> </w:t>
      </w:r>
      <w:r>
        <w:t xml:space="preserve">utilization percentiles with headroom, while capacity-reservation theory prescribes</w:t>
      </w:r>
      <w:r>
        <w:t xml:space="preserve"> </w:t>
      </w:r>
      <w:r>
        <w:t xml:space="preserve">price-aware commitment levels that may be much lower under two-tier</w:t>
      </w:r>
      <w:r>
        <w:t xml:space="preserve"> </w:t>
      </w:r>
      <w:r>
        <w:t xml:space="preserve">reserved/on-demand pricing. This paper operationalizes that tension. We use</w:t>
      </w:r>
      <w:r>
        <w:t xml:space="preserve"> </w:t>
      </w:r>
      <w:r>
        <w:t xml:space="preserve">Smart Cloud Optimizer, an implemented AWS cost-optimization pipeline, as a</w:t>
      </w:r>
      <w:r>
        <w:t xml:space="preserve"> </w:t>
      </w:r>
      <w:r>
        <w:t xml:space="preserve">reproducible vehicle for evaluating when conservative</w:t>
      </w:r>
      <w:r>
        <w:t xml:space="preserve"> </w:t>
      </w:r>
      <m:oMath>
        <m:sSub>
          <m:e>
            <m:r>
              <m:t>q</m:t>
            </m:r>
          </m:e>
          <m:sub>
            <m:r>
              <m:t>0.95</m:t>
            </m:r>
          </m:sub>
        </m:sSub>
        <m:r>
          <m:rPr>
            <m:sty m:val="p"/>
          </m:rPr>
          <m:t>×</m:t>
        </m:r>
        <m:r>
          <m:t>1.3</m:t>
        </m:r>
      </m:oMath>
      <w:r>
        <w:t xml:space="preserve"> </w:t>
      </w:r>
      <w:r>
        <w:t xml:space="preserve">right-sizing heuristics and reservation policies diverge</w:t>
      </w:r>
      <w:r>
        <w:t xml:space="preserve"> </w:t>
      </w:r>
      <w:r>
        <w:t xml:space="preserve">under intermittent demand surges. The system context includes telemetry</w:t>
      </w:r>
      <w:r>
        <w:t xml:space="preserve"> </w:t>
      </w:r>
      <w:r>
        <w:t xml:space="preserve">collection, forecasting, mixed-integer right-sizing, reserved-pricing checks,</w:t>
      </w:r>
      <w:r>
        <w:t xml:space="preserve"> </w:t>
      </w:r>
      <w:r>
        <w:t xml:space="preserve">and service-level waste rules; the research contribution is the empirical</w:t>
      </w:r>
      <w:r>
        <w:t xml:space="preserve"> </w:t>
      </w:r>
      <w:r>
        <w:t xml:space="preserve">bridge between this FinOps-style practice and capacity-reservation theory.</w:t>
      </w:r>
      <w:r>
        <w:t xml:space="preserve"> </w:t>
      </w:r>
      <w:r>
        <w:t xml:space="preserve">On the repository’s synthetic AWS account, a pricing audit finds that several</w:t>
      </w:r>
      <w:r>
        <w:t xml:space="preserve"> </w:t>
      </w:r>
      <w:r>
        <w:t xml:space="preserve">demo EC2 candidate prices are inconsistent with the verified AWS snapshot; the</w:t>
      </w:r>
      <w:r>
        <w:t xml:space="preserve"> </w:t>
      </w:r>
      <w:r>
        <w:t xml:space="preserve">paper therefore reports synthetic right-sizing on a corrected shared EC2 price</w:t>
      </w:r>
      <w:r>
        <w:t xml:space="preserve"> </w:t>
      </w:r>
      <w:r>
        <w:t xml:space="preserve">basis. Under that basis, the deployed</w:t>
      </w:r>
      <w:r>
        <w:t xml:space="preserve"> </w:t>
      </w:r>
      <m:oMath>
        <m:sSub>
          <m:e>
            <m:r>
              <m:t>q</m:t>
            </m:r>
          </m:e>
          <m:sub>
            <m:r>
              <m:t>0.95</m:t>
            </m:r>
          </m:sub>
        </m:sSub>
        <m:r>
          <m:rPr>
            <m:sty m:val="p"/>
          </m:rPr>
          <m:t>×</m:t>
        </m:r>
        <m:r>
          <m:t>1.3</m:t>
        </m:r>
      </m:oMath>
      <w:r>
        <w:t xml:space="preserve"> </w:t>
      </w:r>
      <w:r>
        <w:t xml:space="preserve">compute MILP is</w:t>
      </w:r>
      <w:r>
        <w:t xml:space="preserve"> </w:t>
      </w:r>
      <w:r>
        <w:t xml:space="preserve">feasible, but the service split is mixed: EC2 cost increases by</w:t>
      </w:r>
      <w:r>
        <w:t xml:space="preserve"> </w:t>
      </w:r>
      <w:r>
        <w:t xml:space="preserve">15.0% while demo-priced RDS cost decreases by</w:t>
      </w:r>
      <w:r>
        <w:t xml:space="preserve"> </w:t>
      </w:r>
      <w:r>
        <w:t xml:space="preserve">91.2%, yielding an aggregate compute-scope decrease of</w:t>
      </w:r>
      <w:r>
        <w:t xml:space="preserve"> </w:t>
      </w:r>
      <w:r>
        <w:t xml:space="preserve">19.0%. A labeled usage-hour reservation replay surrogate</w:t>
      </w:r>
      <w:r>
        <w:t xml:space="preserve"> </w:t>
      </w:r>
      <w:r>
        <w:t xml:space="preserve">recommends 6 EC2 commitments saving</w:t>
      </w:r>
      <w:r>
        <w:t xml:space="preserve"> </w:t>
      </w:r>
      <w:r>
        <w:t xml:space="preserve">$209.15/mo on eligible EC2 on-demand spend; its 7-, 30-,</w:t>
      </w:r>
      <w:r>
        <w:t xml:space="preserve"> </w:t>
      </w:r>
      <w:r>
        <w:t xml:space="preserve">and 60-day windows collapse to the same synthetic result.</w:t>
      </w:r>
      <w:r>
        <w:t xml:space="preserve"> </w:t>
      </w:r>
      <w:r>
        <w:t xml:space="preserve">On restored raw Bitbrains and Materna GWA traces priced against a</w:t>
      </w:r>
      <w:r>
        <w:t xml:space="preserve"> </w:t>
      </w:r>
      <w:r>
        <w:t xml:space="preserve">snapshot-dated AWS catalog, the right-sizing MILP saves</w:t>
      </w:r>
      <w:r>
        <w:t xml:space="preserve"> </w:t>
      </w:r>
      <w:r>
        <w:t xml:space="preserve">41.8% in aggregate (bootstrap 95% CI</w:t>
      </w:r>
      <w:r>
        <w:t xml:space="preserve"> </w:t>
      </w:r>
      <w:r>
        <w:t xml:space="preserve">35.9–47.5%) relative to a</w:t>
      </w:r>
      <w:r>
        <w:t xml:space="preserve"> </w:t>
      </w:r>
      <w:r>
        <w:t xml:space="preserve">like-for-like lift-and-shift baseline, rising to 63.4%</w:t>
      </w:r>
      <w:r>
        <w:t xml:space="preserve"> </w:t>
      </w:r>
      <w:r>
        <w:t xml:space="preserve">with one-year reserved pricing. The Azure Public Dataset V2 arm remains a</w:t>
      </w:r>
      <w:r>
        <w:t xml:space="preserve"> </w:t>
      </w:r>
      <w:r>
        <w:t xml:space="preserve">previously generated boundary case because its raw</w:t>
      </w:r>
      <w:r>
        <w:t xml:space="preserve"> </w:t>
      </w:r>
      <w:r>
        <w:rPr>
          <w:rStyle w:val="VerbatimChar"/>
        </w:rPr>
        <w:t xml:space="preserve">vmtable.csv.gz</w:t>
      </w:r>
      <w:r>
        <w:t xml:space="preserve"> </w:t>
      </w:r>
      <w:r>
        <w:t xml:space="preserve">was not restored: max-based CPU percentiles and unobserved memory can</w:t>
      </w:r>
      <w:r>
        <w:t xml:space="preserve"> </w:t>
      </w:r>
      <w:r>
        <w:t xml:space="preserve">make right-sizing alone cost-negative. Finally, out-of-sample policy</w:t>
      </w:r>
      <w:r>
        <w:t xml:space="preserve"> </w:t>
      </w:r>
      <w:r>
        <w:t xml:space="preserve">simulation quantifies the</w:t>
      </w:r>
      <w:r>
        <w:t xml:space="preserve"> </w:t>
      </w:r>
      <w:r>
        <w:t xml:space="preserve">“price of conservatism”</w:t>
      </w:r>
      <w:r>
        <w:t xml:space="preserve"> </w:t>
      </w:r>
      <w:r>
        <w:t xml:space="preserve">with newsvendor, SAA,</w:t>
      </w:r>
      <w:r>
        <w:t xml:space="preserve"> </w:t>
      </w:r>
      <w:r>
        <w:t xml:space="preserve">dual-capacity, and look-back replay policies: at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0.63</m:t>
        </m:r>
      </m:oMath>
      <w:r>
        <w:t xml:space="preserve">, using the high-percentile capacity rule as a</w:t>
      </w:r>
      <w:r>
        <w:t xml:space="preserve"> </w:t>
      </w:r>
      <w:r>
        <w:t xml:space="preserve">reservation-sizing rule realizes 101.8% and 153.5% of</w:t>
      </w:r>
      <w:r>
        <w:t xml:space="preserve"> </w:t>
      </w:r>
      <w:r>
        <w:t xml:space="preserve">on-demand cost on the synthetic and real traces, whereas the newsvendor</w:t>
      </w:r>
      <w:r>
        <w:t xml:space="preserve"> </w:t>
      </w:r>
      <w:r>
        <w:t xml:space="preserve">fractile realizes 73.6% and 86.2%, and the real-trace</w:t>
      </w:r>
      <w:r>
        <w:t xml:space="preserve"> </w:t>
      </w:r>
      <w:r>
        <w:t xml:space="preserve">30-day look-back replay realizes 84.9%. We do not claim</w:t>
      </w:r>
      <w:r>
        <w:t xml:space="preserve"> </w:t>
      </w:r>
      <w:r>
        <w:t xml:space="preserve">superiority over AWS, Azure, or commercial FinOps recommenders; no direct</w:t>
      </w:r>
      <w:r>
        <w:t xml:space="preserve"> </w:t>
      </w:r>
      <w:r>
        <w:t xml:space="preserve">evidence for that comparison exists in the repository.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cloud cost optimization; right-sizing; capacity reservation; resource management; cloud pricing; workload traces; FinOps; empirical evaluation.</w:t>
      </w:r>
    </w:p>
    <w:bookmarkEnd w:id="9"/>
    <w:bookmarkStart w:id="10" w:name="introduc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p>
      <w:pPr>
        <w:pStyle w:val="FirstParagraph"/>
      </w:pPr>
      <w:r>
        <w:t xml:space="preserve">Public-cloud users face a recurring capacity trade-off. On-demand capacity is</w:t>
      </w:r>
      <w:r>
        <w:t xml:space="preserve"> </w:t>
      </w:r>
      <w:r>
        <w:t xml:space="preserve">elastic but expensive per unit; reserved or committed capacity is cheaper but</w:t>
      </w:r>
      <w:r>
        <w:t xml:space="preserve"> </w:t>
      </w:r>
      <w:r>
        <w:t xml:space="preserve">can be wasted when demand falls. The trade-off is most visible under</w:t>
      </w:r>
      <w:r>
        <w:t xml:space="preserve"> </w:t>
      </w:r>
      <w:r>
        <w:t xml:space="preserve">intermittent demand surges, where a workload has a stable base load punctuated</w:t>
      </w:r>
      <w:r>
        <w:t xml:space="preserve"> </w:t>
      </w:r>
      <w:r>
        <w:t xml:space="preserve">by spikes. In that regime, the engineering instinct to provision against high</w:t>
      </w:r>
      <w:r>
        <w:t xml:space="preserve"> </w:t>
      </w:r>
      <w:r>
        <w:t xml:space="preserve">percentiles and the economic incentive to reserve only the cost-effective base</w:t>
      </w:r>
      <w:r>
        <w:t xml:space="preserve"> </w:t>
      </w:r>
      <w:r>
        <w:t xml:space="preserve">load can point in different directions.</w:t>
      </w:r>
    </w:p>
    <w:p>
      <w:pPr>
        <w:pStyle w:val="BodyText"/>
      </w:pPr>
      <w:r>
        <w:t xml:space="preserve">Operations-management work formalizes this problem as capacity reservation</w:t>
      </w:r>
      <w:r>
        <w:t xml:space="preserve"> </w:t>
      </w:r>
      <w:r>
        <w:t xml:space="preserve">under intermittent random demand surges. Chen, Lei, and</w:t>
      </w:r>
      <w:r>
        <w:t xml:space="preserve"> </w:t>
      </w:r>
      <w:r>
        <w:t xml:space="preserve">Moinzadeh </w:t>
      </w:r>
      <w:r>
        <w:t xml:space="preserve">(Chen et al. 2024)</w:t>
      </w:r>
      <w:r>
        <w:t xml:space="preserve"> </w:t>
      </w:r>
      <w:r>
        <w:t xml:space="preserve">show that optimal reserved capacity follows</w:t>
      </w:r>
      <w:r>
        <w:t xml:space="preserve"> </w:t>
      </w:r>
      <w:r>
        <w:t xml:space="preserve">a newsvendor-type critical-fractile rule and that supplementary contracts can</w:t>
      </w:r>
      <w:r>
        <w:t xml:space="preserve"> </w:t>
      </w:r>
      <w:r>
        <w:t xml:space="preserve">be managed by a threshold policy. In reported production engineering practice,</w:t>
      </w:r>
      <w:r>
        <w:t xml:space="preserve"> </w:t>
      </w:r>
      <w:r>
        <w:t xml:space="preserve">however, capacity limits and right-sizing recommendations are based on high usage</w:t>
      </w:r>
      <w:r>
        <w:t xml:space="preserve"> </w:t>
      </w:r>
      <w:r>
        <w:t xml:space="preserve">percentiles with headroom, as in the percentile-based approaches reported for</w:t>
      </w:r>
      <w:r>
        <w:t xml:space="preserve"> </w:t>
      </w:r>
      <w:r>
        <w:t xml:space="preserve">large-scale production systems </w:t>
      </w:r>
      <w:r>
        <w:t xml:space="preserve">(Rzadca et al. 2020; Cortez et al. 2017; Cahoon et al. 2022)</w:t>
      </w:r>
      <w:r>
        <w:t xml:space="preserve">.</w:t>
      </w:r>
      <w:r>
        <w:t xml:space="preserve"> </w:t>
      </w:r>
      <w:r>
        <w:t xml:space="preserve">Those rules are defensible for performance-risk management, but they are not</w:t>
      </w:r>
      <w:r>
        <w:t xml:space="preserve"> </w:t>
      </w:r>
      <w:r>
        <w:t xml:space="preserve">automatically cost-optimal for reservation sizing.</w:t>
      </w:r>
    </w:p>
    <w:p>
      <w:pPr>
        <w:pStyle w:val="BodyText"/>
      </w:pPr>
      <w:r>
        <w:t xml:space="preserve">This paper turns Smart Cloud Optimizer into a research artifact around that</w:t>
      </w:r>
      <w:r>
        <w:t xml:space="preserve"> </w:t>
      </w:r>
      <w:r>
        <w:t xml:space="preserve">distinction. The repository implements telemetry ingestion, forecasting,</w:t>
      </w:r>
      <w:r>
        <w:t xml:space="preserve"> </w:t>
      </w:r>
      <w:r>
        <w:t xml:space="preserve">PuLP-based right-sizing, and transparent pricing/waste rules; dashboard, API,</w:t>
      </w:r>
      <w:r>
        <w:t xml:space="preserve"> </w:t>
      </w:r>
      <w:r>
        <w:t xml:space="preserve">storage, and LLM-advisor components are system context only. The evaluated</w:t>
      </w:r>
      <w:r>
        <w:t xml:space="preserve"> </w:t>
      </w:r>
      <w:r>
        <w:t xml:space="preserve">object is the interaction between practical P95-based right-sizing and</w:t>
      </w:r>
      <w:r>
        <w:t xml:space="preserve"> </w:t>
      </w:r>
      <w:r>
        <w:t xml:space="preserve">price-aware reservation sizing, measured with paper-local scripts on public</w:t>
      </w:r>
      <w:r>
        <w:t xml:space="preserve"> </w:t>
      </w:r>
      <w:r>
        <w:t xml:space="preserve">traces and policy alternatives.</w:t>
      </w:r>
    </w:p>
    <w:p>
      <w:pPr>
        <w:pStyle w:val="BodyText"/>
      </w:pPr>
      <w:r>
        <w:t xml:space="preserve">The claim is deliberately narrower than</w:t>
      </w:r>
      <w:r>
        <w:t xml:space="preserve"> </w:t>
      </w:r>
      <w:r>
        <w:t xml:space="preserve">“a new cloud optimizer beats existing</w:t>
      </w:r>
      <w:r>
        <w:t xml:space="preserve"> </w:t>
      </w:r>
      <w:r>
        <w:t xml:space="preserve">tools.”</w:t>
      </w:r>
      <w:r>
        <w:t xml:space="preserve"> </w:t>
      </w:r>
      <w:r>
        <w:t xml:space="preserve">We claim that the project operationalizes a cloud cost-optimization</w:t>
      </w:r>
      <w:r>
        <w:t xml:space="preserve"> </w:t>
      </w:r>
      <w:r>
        <w:t xml:space="preserve">pipeline and empirically quantifies when conservative P95-based right-sizing</w:t>
      </w:r>
      <w:r>
        <w:t xml:space="preserve"> </w:t>
      </w:r>
      <w:r>
        <w:t xml:space="preserve">and reservation heuristics diverge from capacity-reservation theory under</w:t>
      </w:r>
      <w:r>
        <w:t xml:space="preserve"> </w:t>
      </w:r>
      <w:r>
        <w:t xml:space="preserve">intermittent demand surges. In particular, a</w:t>
      </w:r>
      <w:r>
        <w:t xml:space="preserve"> </w:t>
      </w:r>
      <m:oMath>
        <m:sSub>
          <m:e>
            <m:r>
              <m:t>q</m:t>
            </m:r>
          </m:e>
          <m:sub>
            <m:r>
              <m:t>0.95</m:t>
            </m:r>
          </m:sub>
        </m:sSub>
        <m:r>
          <m:rPr>
            <m:sty m:val="p"/>
          </m:rPr>
          <m:t>×</m:t>
        </m:r>
        <m:r>
          <m:t>1.3</m:t>
        </m:r>
      </m:oMath>
      <w:r>
        <w:t xml:space="preserve"> </w:t>
      </w:r>
      <w:r>
        <w:t xml:space="preserve">rule is the</w:t>
      </w:r>
      <w:r>
        <w:t xml:space="preserve"> </w:t>
      </w:r>
      <w:r>
        <w:t xml:space="preserve">conservative capacity rule used by the implemented pipeline, but can forfeit</w:t>
      </w:r>
      <w:r>
        <w:t xml:space="preserve"> </w:t>
      </w:r>
      <w:r>
        <w:t xml:space="preserve">reserved-instance discounts when naively reused as a reservation-sizing</w:t>
      </w:r>
      <w:r>
        <w:t xml:space="preserve"> </w:t>
      </w:r>
      <w:r>
        <w:t xml:space="preserve">fractile.</w:t>
      </w:r>
    </w:p>
    <w:p>
      <w:pPr>
        <w:pStyle w:val="BodyText"/>
      </w:pPr>
      <w:r>
        <w:t xml:space="preserve">The contributions are:</w:t>
      </w:r>
    </w:p>
    <w:p>
      <w:pPr>
        <w:numPr>
          <w:ilvl w:val="0"/>
          <w:numId w:val="1001"/>
        </w:numPr>
      </w:pPr>
      <w:r>
        <w:t xml:space="preserve">A reproducible operationalization of a cloud-cost pipeline that provides</w:t>
      </w:r>
      <w:r>
        <w:t xml:space="preserve"> </w:t>
      </w:r>
      <w:r>
        <w:t xml:space="preserve">system context for studying practical right-sizing and reservation decisions.</w:t>
      </w:r>
    </w:p>
    <w:p>
      <w:pPr>
        <w:numPr>
          <w:ilvl w:val="0"/>
          <w:numId w:val="1001"/>
        </w:numPr>
      </w:pPr>
      <w:r>
        <w:t xml:space="preserve">An empirical bridge between capacity-reservation theory and FinOps</w:t>
      </w:r>
      <w:r>
        <w:t xml:space="preserve"> </w:t>
      </w:r>
      <w:r>
        <w:t xml:space="preserve">practice on a synthetic AWS account and public VM traces, including a</w:t>
      </w:r>
      <w:r>
        <w:t xml:space="preserve"> </w:t>
      </w:r>
      <w:r>
        <w:t xml:space="preserve">service-level synthetic decomposition that separates EC2 upsizing from</w:t>
      </w:r>
      <w:r>
        <w:t xml:space="preserve"> </w:t>
      </w:r>
      <w:r>
        <w:t xml:space="preserve">RDS-driven aggregate savings.</w:t>
      </w:r>
    </w:p>
    <w:p>
      <w:pPr>
        <w:numPr>
          <w:ilvl w:val="0"/>
          <w:numId w:val="1001"/>
        </w:numPr>
      </w:pPr>
      <w:r>
        <w:t xml:space="preserve">An external validation study showing that the same MILP right-sizing</w:t>
      </w:r>
      <w:r>
        <w:t xml:space="preserve"> </w:t>
      </w:r>
      <w:r>
        <w:t xml:space="preserve">rule saves on restored Bitbrains and Materna traces, plus a separately</w:t>
      </w:r>
      <w:r>
        <w:t xml:space="preserve"> </w:t>
      </w:r>
      <w:r>
        <w:t xml:space="preserve">generated Azure boundary case under max-based percentile and missing-memory</w:t>
      </w:r>
      <w:r>
        <w:t xml:space="preserve"> </w:t>
      </w:r>
      <w:r>
        <w:t xml:space="preserve">semantics.</w:t>
      </w:r>
    </w:p>
    <w:p>
      <w:pPr>
        <w:numPr>
          <w:ilvl w:val="0"/>
          <w:numId w:val="1001"/>
        </w:numPr>
      </w:pPr>
      <w:r>
        <w:t xml:space="preserve">An out-of-sample policy simulation that measures the price of</w:t>
      </w:r>
      <w:r>
        <w:t xml:space="preserve"> </w:t>
      </w:r>
      <w:r>
        <w:t xml:space="preserve">conservatism and compares the deployed high-percentile heuristic with</w:t>
      </w:r>
      <w:r>
        <w:t xml:space="preserve"> </w:t>
      </w:r>
      <w:r>
        <w:t xml:space="preserve">newsvendor, stochastic-programming, dual-capacity, and look-back replay</w:t>
      </w:r>
      <w:r>
        <w:t xml:space="preserve"> </w:t>
      </w:r>
      <w:r>
        <w:t xml:space="preserve">reservation baselines.</w:t>
      </w:r>
    </w:p>
    <w:bookmarkEnd w:id="10"/>
    <w:bookmarkStart w:id="11" w:name="related-work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Related Work</w:t>
      </w:r>
    </w:p>
    <w:p>
      <w:pPr>
        <w:pStyle w:val="FirstParagraph"/>
      </w:pPr>
      <w:r>
        <w:t xml:space="preserve">The reservation side of this work builds on the classical newsvendor model and</w:t>
      </w:r>
      <w:r>
        <w:t xml:space="preserve"> </w:t>
      </w:r>
      <w:r>
        <w:t xml:space="preserve">data-driven variants </w:t>
      </w:r>
      <w:r>
        <w:t xml:space="preserve">(Arrow et al. 1951; Ban and Rudin 2019)</w:t>
      </w:r>
      <w:r>
        <w:t xml:space="preserve">, stochastic</w:t>
      </w:r>
      <w:r>
        <w:t xml:space="preserve"> </w:t>
      </w:r>
      <w:r>
        <w:t xml:space="preserve">cloud provisioning </w:t>
      </w:r>
      <w:r>
        <w:t xml:space="preserve">(Chaisiri et al. 2012; Bülbül et al. 2021)</w:t>
      </w:r>
      <w:r>
        <w:t xml:space="preserve">, and</w:t>
      </w:r>
      <w:r>
        <w:t xml:space="preserve"> </w:t>
      </w:r>
      <w:r>
        <w:t xml:space="preserve">online instance-acquisition formulations </w:t>
      </w:r>
      <w:r>
        <w:t xml:space="preserve">(Wang, Liang, et al. 2015; Wang, Niu, et al. 2015)</w:t>
      </w:r>
      <w:r>
        <w:t xml:space="preserve">.</w:t>
      </w:r>
      <w:r>
        <w:t xml:space="preserve"> </w:t>
      </w:r>
      <w:r>
        <w:t xml:space="preserve">Chen et al. </w:t>
      </w:r>
      <w:r>
        <w:t xml:space="preserve">(Chen et al. 2024)</w:t>
      </w:r>
      <w:r>
        <w:t xml:space="preserve"> </w:t>
      </w:r>
      <w:r>
        <w:t xml:space="preserve">are the closest theoretical reference:</w:t>
      </w:r>
      <w:r>
        <w:t xml:space="preserve"> </w:t>
      </w:r>
      <w:r>
        <w:t xml:space="preserve">their model separates base and surge capacity and derives newsvendor-like</w:t>
      </w:r>
      <w:r>
        <w:t xml:space="preserve"> </w:t>
      </w:r>
      <w:r>
        <w:t xml:space="preserve">capacity levels. We do not rederive that theory; we evaluate how an</w:t>
      </w:r>
      <w:r>
        <w:t xml:space="preserve"> </w:t>
      </w:r>
      <w:r>
        <w:t xml:space="preserve">implemented right-sizing pipeline relates to it on repository and public traces.</w:t>
      </w:r>
    </w:p>
    <w:p>
      <w:pPr>
        <w:pStyle w:val="BodyText"/>
      </w:pPr>
      <w:r>
        <w:t xml:space="preserve">Practical right-sizing systems such as Google Autopilot and Azure Resource</w:t>
      </w:r>
      <w:r>
        <w:t xml:space="preserve"> </w:t>
      </w:r>
      <w:r>
        <w:t xml:space="preserve">Central/Doppler use utilization percentiles and headroom to avoid</w:t>
      </w:r>
      <w:r>
        <w:t xml:space="preserve"> </w:t>
      </w:r>
      <w:r>
        <w:t xml:space="preserve">under-provisioning </w:t>
      </w:r>
      <w:r>
        <w:t xml:space="preserve">(Rzadca et al. 2020; Cortez et al. 2017; Cahoon et al. 2022)</w:t>
      </w:r>
      <w:r>
        <w:t xml:space="preserve">;</w:t>
      </w:r>
      <w:r>
        <w:t xml:space="preserve"> </w:t>
      </w:r>
      <w:r>
        <w:t xml:space="preserve">other work studies instance selection and cloud cost</w:t>
      </w:r>
      <w:r>
        <w:t xml:space="preserve"> </w:t>
      </w:r>
      <w:r>
        <w:t xml:space="preserve">reduction </w:t>
      </w:r>
      <w:r>
        <w:t xml:space="preserve">(Yadwadkar et al. 2017; Aydın et al. 2020; Alves and Morais 2025; Musa and Down 2024)</w:t>
      </w:r>
      <w:r>
        <w:t xml:space="preserve">.</w:t>
      </w:r>
      <w:r>
        <w:t xml:space="preserve"> </w:t>
      </w:r>
      <w:r>
        <w:t xml:space="preserve">Forecasting remains useful context for provisioning </w:t>
      </w:r>
      <w:r>
        <w:t xml:space="preserve">(Taylor and Letham 2018; Hyndman and Khandakar 2008; Kirchoff et al. 2024; Agulló et al. 2025)</w:t>
      </w:r>
      <w:r>
        <w:t xml:space="preserve">,</w:t>
      </w:r>
      <w:r>
        <w:t xml:space="preserve"> </w:t>
      </w:r>
      <w:r>
        <w:t xml:space="preserve">but this paper sizes capacity from empirical distributions rather than point</w:t>
      </w:r>
      <w:r>
        <w:t xml:space="preserve"> </w:t>
      </w:r>
      <w:r>
        <w:t xml:space="preserve">forecasts.</w:t>
      </w:r>
    </w:p>
    <w:bookmarkEnd w:id="11"/>
    <w:bookmarkStart w:id="19" w:name="X0e65410c2e5f8ee3785ee585db356da477ada11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Methodology: Pipeline and Policy Evaluation</w:t>
      </w:r>
    </w:p>
    <w:p>
      <w:pPr>
        <w:pStyle w:val="FirstParagraph"/>
      </w:pPr>
      <w:r>
        <w:t xml:space="preserve">This section separates the implemented pipeline from the paper-side policy</w:t>
      </w:r>
      <w:r>
        <w:t xml:space="preserve"> </w:t>
      </w:r>
      <w:r>
        <w:t xml:space="preserve">experiments. The pipeline supplies the evaluated right-sizing and</w:t>
      </w:r>
      <w:r>
        <w:t xml:space="preserve"> </w:t>
      </w:r>
      <w:r>
        <w:t xml:space="preserve">recommendation behavior. The reservation-fractile and dual-capacity analyses</w:t>
      </w:r>
      <w:r>
        <w:t xml:space="preserve"> </w:t>
      </w:r>
      <w:r>
        <w:t xml:space="preserve">are not deployed production features; they are held-out simulations used to</w:t>
      </w:r>
      <w:r>
        <w:t xml:space="preserve"> </w:t>
      </w:r>
      <w:r>
        <w:t xml:space="preserve">measure the gap between the implemented P95 heuristic and</w:t>
      </w:r>
      <w:r>
        <w:t xml:space="preserve"> </w:t>
      </w:r>
      <w:r>
        <w:t xml:space="preserve">capacity-reservation theory.</w:t>
      </w:r>
    </w:p>
    <w:p>
      <w:pPr>
        <w:pStyle w:val="BodyText"/>
      </w:pPr>
      <w:r>
        <w:t xml:space="preserve">Fig. </w:t>
      </w:r>
      <w:hyperlink w:anchor="fig:arch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summarizes the implemented system. Telemetry enters the</w:t>
      </w:r>
      <w:r>
        <w:t xml:space="preserve"> </w:t>
      </w:r>
      <w:r>
        <w:t xml:space="preserve">SQLite database either from a synthetic demo account or from real AWS</w:t>
      </w:r>
      <w:r>
        <w:t xml:space="preserve"> </w:t>
      </w:r>
      <w:r>
        <w:t xml:space="preserve">collection. The backend exposes costs, forecasts, recommendations, settings,</w:t>
      </w:r>
      <w:r>
        <w:t xml:space="preserve"> </w:t>
      </w:r>
      <w:r>
        <w:t xml:space="preserve">and connection-management routes; the frontend renders the dashboard. The</w:t>
      </w:r>
      <w:r>
        <w:t xml:space="preserve"> </w:t>
      </w:r>
      <w:r>
        <w:t xml:space="preserve">paper’s claims about optimization rely on the optimizer and forecasting</w:t>
      </w:r>
      <w:r>
        <w:t xml:space="preserve"> </w:t>
      </w:r>
      <w:r>
        <w:t xml:space="preserve">modules, not on the dashboard presentation layer.</w:t>
      </w:r>
    </w:p>
    <w:bookmarkStart w:id="15" w:name="fig:arch"/>
    <w:p>
      <w:pPr>
        <w:pStyle w:val="CaptionedFigure"/>
      </w:pPr>
      <w:r>
        <w:drawing>
          <wp:inline>
            <wp:extent cx="5334000" cy="186431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fig_architecture.pdf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4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Smart Cloud Optimizer architecture. The system loads telemetry into</w:t>
      </w:r>
      <w:r>
        <w:t xml:space="preserve"> </w:t>
      </w:r>
      <w:r>
        <w:t xml:space="preserve">SQLite and runs forecasting, MILP right-sizing, transparent rules, and an LLM</w:t>
      </w:r>
      <w:r>
        <w:t xml:space="preserve"> </w:t>
      </w:r>
      <w:r>
        <w:t xml:space="preserve">advisor; only right-sizing and reservation behavior are evaluated here.</w:t>
      </w:r>
    </w:p>
    <w:bookmarkEnd w:id="15"/>
    <w:bookmarkStart w:id="16" w:name="forecasting-and-anomaly-context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Forecasting and Anomaly Context</w:t>
      </w:r>
    </w:p>
    <w:p>
      <w:pPr>
        <w:pStyle w:val="FirstParagraph"/>
      </w:pPr>
      <w:r>
        <w:t xml:space="preserve">The forecasting module exposes a shared fit/predict interface for Naive,</w:t>
      </w:r>
      <w:r>
        <w:t xml:space="preserve"> </w:t>
      </w:r>
      <w:r>
        <w:t xml:space="preserve">SeasonalNaive, ETS, Prophet, and SARIMAX models. Paper scripts evaluate them</w:t>
      </w:r>
      <w:r>
        <w:t xml:space="preserve"> </w:t>
      </w:r>
      <w:r>
        <w:t xml:space="preserve">with walk-forward MAPE, MASE </w:t>
      </w:r>
      <w:r>
        <w:t xml:space="preserve">(Hyndman and Koehler 2006)</w:t>
      </w:r>
      <w:r>
        <w:t xml:space="preserve">, interval coverage, and</w:t>
      </w:r>
      <w:r>
        <w:t xml:space="preserve"> </w:t>
      </w:r>
      <w:r>
        <w:t xml:space="preserve">small-sample Diebold-Mariano tests </w:t>
      </w:r>
      <w:r>
        <w:t xml:space="preserve">(Diebold and Mariano 1995; Harvey et al. 1997)</w:t>
      </w:r>
      <w:r>
        <w:t xml:space="preserve">.</w:t>
      </w:r>
      <w:r>
        <w:t xml:space="preserve"> </w:t>
      </w:r>
      <w:r>
        <w:t xml:space="preserve">Forecasts support monitoring context; sizing uses observed utilization</w:t>
      </w:r>
      <w:r>
        <w:t xml:space="preserve"> </w:t>
      </w:r>
      <w:r>
        <w:t xml:space="preserve">percentiles, which matters because real-trace aggregate forecasts are weak.</w:t>
      </w:r>
    </w:p>
    <w:bookmarkEnd w:id="16"/>
    <w:bookmarkStart w:id="17" w:name="milp-right-sizing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MILP Right-Sizing</w:t>
      </w:r>
    </w:p>
    <w:p>
      <w:pPr>
        <w:pStyle w:val="FirstParagraph"/>
      </w:pPr>
      <w:r>
        <w:t xml:space="preserve">For compute resources, the optimizer solves a binary assignment problem. Let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 </w:t>
      </w:r>
      <w:r>
        <w:t xml:space="preserve">be resources and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candidate instance types with</w:t>
      </w:r>
      <w:r>
        <w:t xml:space="preserve"> </w:t>
      </w:r>
      <w:r>
        <w:t xml:space="preserve">price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, vCPUs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, and memory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. The decision variable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c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assigns resource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 type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x</m:t>
                  </m:r>
                </m:lim>
              </m:limLow>
              <m:r>
                <m:t> </m:t>
              </m:r>
              <m:r>
                <m:t>&amp;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I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C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b>
              </m:sSub>
            </m:e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.</m:t>
              </m:r>
              <m:r>
                <m:t> </m:t>
              </m:r>
              <m:r>
                <m:t>&amp;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∀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≥</m:t>
              </m:r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  <m:r>
                    <m:t>p</m:t>
                  </m:r>
                  <m:r>
                    <m:t>u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∀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≥</m:t>
              </m:r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m</m:t>
                  </m:r>
                  <m:r>
                    <m:t>e</m:t>
                  </m:r>
                  <m:r>
                    <m:t>m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∀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requirement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uses the deployed rule: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0.95</m:t>
              </m:r>
            </m:sub>
          </m:sSub>
          <m:r>
            <m:rPr>
              <m:sty m:val="p"/>
            </m:rPr>
            <m:t>(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t> </m:t>
          </m:r>
          <m:r>
            <m:t>h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=</m:t>
          </m:r>
          <m:r>
            <m:t>1.3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observed utilization 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current capacity. EC2 uses</w:t>
      </w:r>
      <w:r>
        <w:t xml:space="preserve"> </w:t>
      </w:r>
      <w:r>
        <w:t xml:space="preserve">CPU and memory when memory utilization is available; RDS uses CPU because the</w:t>
      </w:r>
      <w:r>
        <w:t xml:space="preserve"> </w:t>
      </w:r>
      <w:r>
        <w:t xml:space="preserve">stored RDS memory metric is not directly comparable as a utilization</w:t>
      </w:r>
      <w:r>
        <w:t xml:space="preserve"> </w:t>
      </w:r>
      <w:r>
        <w:t xml:space="preserve">percentage.</w:t>
      </w:r>
    </w:p>
    <w:bookmarkEnd w:id="17"/>
    <w:bookmarkStart w:id="18" w:name="rule-based-recommendations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Rule-Based Recommendations</w:t>
      </w:r>
    </w:p>
    <w:p>
      <w:pPr>
        <w:pStyle w:val="FirstParagraph"/>
      </w:pPr>
      <w:r>
        <w:t xml:space="preserve">The rule engine adds transparent service-specific actions such as EC2/RDS</w:t>
      </w:r>
      <w:r>
        <w:t xml:space="preserve"> </w:t>
      </w:r>
      <w:r>
        <w:t xml:space="preserve">reserved-pricing switches and waste-removal checks, deduplicating by resource</w:t>
      </w:r>
      <w:r>
        <w:t xml:space="preserve"> </w:t>
      </w:r>
      <w:r>
        <w:t xml:space="preserve">and action type. These rules provide implementation context; the paper’s</w:t>
      </w:r>
      <w:r>
        <w:t xml:space="preserve"> </w:t>
      </w:r>
      <w:r>
        <w:t xml:space="preserve">quantitative claims come from the MILP, generated evidence tables, and</w:t>
      </w:r>
      <w:r>
        <w:t xml:space="preserve"> </w:t>
      </w:r>
      <w:r>
        <w:t xml:space="preserve">reservation-policy simulations.</w:t>
      </w:r>
    </w:p>
    <w:bookmarkEnd w:id="18"/>
    <w:bookmarkEnd w:id="19"/>
    <w:bookmarkStart w:id="20" w:name="reservation-fractile-interpretation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Reservation-Fractile Interpretation</w:t>
      </w:r>
    </w:p>
    <w:p>
      <w:pPr>
        <w:pStyle w:val="FirstParagraph"/>
      </w:pPr>
      <w:r>
        <w:t xml:space="preserve">The system’s high-percentile rule is conservative by design. It aims to avoid</w:t>
      </w:r>
      <w:r>
        <w:t xml:space="preserve"> </w:t>
      </w:r>
      <w:r>
        <w:t xml:space="preserve">performance-impacting under-provisioning when choosing instance sizes. For</w:t>
      </w:r>
      <w:r>
        <w:t xml:space="preserve"> </w:t>
      </w:r>
      <w:r>
        <w:t xml:space="preserve">reservation sizing, however, the cost model is different. If a reserved unit</w:t>
      </w:r>
      <w:r>
        <w:t xml:space="preserve"> </w:t>
      </w:r>
      <w:r>
        <w:t xml:space="preserve">costs</w:t>
      </w:r>
      <w:r>
        <w:t xml:space="preserve"> </w:t>
      </w:r>
      <m:oMath>
        <m:sSub>
          <m:e>
            <m:r>
              <m:t>w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per period and on-demand costs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, define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. A static reserved capacity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charged against demand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normalized expected cost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γ</m:t>
          </m:r>
          <m:r>
            <m:t>K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e>
              </m:d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newsvendor optimum chooses the empirical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γ</m:t>
        </m:r>
        <m:r>
          <m:rPr>
            <m:sty m:val="p"/>
          </m:rPr>
          <m:t>)</m:t>
        </m:r>
      </m:oMath>
      <w:r>
        <w:t xml:space="preserve"> </w:t>
      </w:r>
      <w:r>
        <w:t xml:space="preserve">quantile. Thus, at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0.63</m:t>
        </m:r>
      </m:oMath>
      <w:r>
        <w:t xml:space="preserve">, the optimal reservation service level is far</w:t>
      </w:r>
      <w:r>
        <w:t xml:space="preserve"> </w:t>
      </w:r>
      <w:r>
        <w:t xml:space="preserve">below</w:t>
      </w:r>
      <w:r>
        <w:t xml:space="preserve"> </w:t>
      </w:r>
      <m:oMath>
        <m:r>
          <m:t>0.95</m:t>
        </m:r>
      </m:oMath>
      <w:r>
        <w:t xml:space="preserve">. This does not invalidate P95 right-sizing. It means that a P95</w:t>
      </w:r>
      <w:r>
        <w:t xml:space="preserve"> </w:t>
      </w:r>
      <w:r>
        <w:t xml:space="preserve">capacity guardrail and a reservation commitment level solve different</w:t>
      </w:r>
      <w:r>
        <w:t xml:space="preserve"> </w:t>
      </w:r>
      <w:r>
        <w:t xml:space="preserve">problems.</w:t>
      </w:r>
    </w:p>
    <w:p>
      <w:pPr>
        <w:pStyle w:val="BodyText"/>
      </w:pPr>
      <w:r>
        <w:t xml:space="preserve">The policy simulation in Section </w:t>
      </w:r>
      <w:hyperlink w:anchor="sec:policy">
        <w:r>
          <w:rPr>
            <w:rStyle w:val="Hyperlink"/>
          </w:rPr>
          <w:t xml:space="preserve">6.3</w:t>
        </w:r>
      </w:hyperlink>
      <w:r>
        <w:t xml:space="preserve"> </w:t>
      </w:r>
      <w:r>
        <w:t xml:space="preserve">makes this distinction</w:t>
      </w:r>
      <w:r>
        <w:t xml:space="preserve"> </w:t>
      </w:r>
      <w:r>
        <w:t xml:space="preserve">quantitative. It reads the deployed</w:t>
      </w:r>
      <w:r>
        <w:t xml:space="preserve"> </w:t>
      </w:r>
      <m:oMath>
        <m:sSub>
          <m:e>
            <m:r>
              <m:t>q</m:t>
            </m:r>
          </m:e>
          <m:sub>
            <m:r>
              <m:t>0.95</m:t>
            </m:r>
          </m:sub>
        </m:sSub>
        <m:r>
          <m:rPr>
            <m:sty m:val="p"/>
          </m:rPr>
          <m:t>×</m:t>
        </m:r>
        <m:r>
          <m:t>1.3</m:t>
        </m:r>
      </m:oMath>
      <w:r>
        <w:t xml:space="preserve"> </w:t>
      </w:r>
      <w:r>
        <w:t xml:space="preserve">rule counterfactually</w:t>
      </w:r>
      <w:r>
        <w:t xml:space="preserve"> </w:t>
      </w:r>
      <w:r>
        <w:t xml:space="preserve">as if it were a reservation-sizing rule, then compares it with the newsvendor</w:t>
      </w:r>
      <w:r>
        <w:t xml:space="preserve"> </w:t>
      </w:r>
      <w:r>
        <w:t xml:space="preserve">fractile, a sample-average-approximation stochastic program, dual-capacity</w:t>
      </w:r>
      <w:r>
        <w:t xml:space="preserve"> </w:t>
      </w:r>
      <w:r>
        <w:t xml:space="preserve">base/surge policies, look-back replay policies, and a clairvoyant lower bound.</w:t>
      </w:r>
    </w:p>
    <w:bookmarkEnd w:id="20"/>
    <w:bookmarkStart w:id="28" w:name="experimental-design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Experimental Design</w:t>
      </w:r>
    </w:p>
    <w:bookmarkStart w:id="21" w:name="research-questions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Research Questions</w:t>
      </w:r>
    </w:p>
    <w:p>
      <w:pPr>
        <w:pStyle w:val="FirstParagraph"/>
      </w:pPr>
      <w:r>
        <w:t xml:space="preserve">The evaluation is organized around four questions:</w:t>
      </w:r>
    </w:p>
    <w:p>
      <w:pPr>
        <w:numPr>
          <w:ilvl w:val="0"/>
          <w:numId w:val="1002"/>
        </w:numPr>
      </w:pPr>
      <w:r>
        <w:t xml:space="preserve">RQ1: What savings does the implemented optimizer report on the</w:t>
      </w:r>
      <w:r>
        <w:t xml:space="preserve"> </w:t>
      </w:r>
      <w:r>
        <w:t xml:space="preserve">repository’s synthetic AWS account?</w:t>
      </w:r>
    </w:p>
    <w:p>
      <w:pPr>
        <w:numPr>
          <w:ilvl w:val="0"/>
          <w:numId w:val="1002"/>
        </w:numPr>
      </w:pPr>
      <w:r>
        <w:t xml:space="preserve">RQ2: Does the same MILP right-sizing rule transfer to public real VM</w:t>
      </w:r>
      <w:r>
        <w:t xml:space="preserve"> </w:t>
      </w:r>
      <w:r>
        <w:t xml:space="preserve">traces under a consistent price catalog?</w:t>
      </w:r>
    </w:p>
    <w:p>
      <w:pPr>
        <w:numPr>
          <w:ilvl w:val="0"/>
          <w:numId w:val="1002"/>
        </w:numPr>
      </w:pPr>
      <w:r>
        <w:t xml:space="preserve">RQ3: How reliable are the forecasting models as a basis for capacity</w:t>
      </w:r>
      <w:r>
        <w:t xml:space="preserve"> </w:t>
      </w:r>
      <w:r>
        <w:t xml:space="preserve">planning?</w:t>
      </w:r>
    </w:p>
    <w:p>
      <w:pPr>
        <w:numPr>
          <w:ilvl w:val="0"/>
          <w:numId w:val="1002"/>
        </w:numPr>
      </w:pPr>
      <w:r>
        <w:t xml:space="preserve">RQ4: What is the out-of-sample cost of applying a conservative</w:t>
      </w:r>
      <w:r>
        <w:t xml:space="preserve"> </w:t>
      </w:r>
      <w:r>
        <w:t xml:space="preserve">right-sizing fractile to reservation sizing?</w:t>
      </w:r>
    </w:p>
    <w:bookmarkEnd w:id="21"/>
    <w:bookmarkStart w:id="22" w:name="datasets-and-inputs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Datasets and Inputs</w:t>
      </w:r>
    </w:p>
    <w:p>
      <w:pPr>
        <w:pStyle w:val="FirstParagraph"/>
      </w:pPr>
      <w:r>
        <w:t xml:space="preserve">Table </w:t>
      </w:r>
      <w:hyperlink w:anchor="tab:datasets">
        <w:r>
          <w:rPr>
            <w:rStyle w:val="Hyperlink"/>
          </w:rPr>
          <w:t xml:space="preserve">[tab:datasets]</w:t>
        </w:r>
      </w:hyperlink>
      <w:r>
        <w:t xml:space="preserve"> </w:t>
      </w:r>
      <w:r>
        <w:t xml:space="preserve">summarizes the datasets used by the paper scripts.</w:t>
      </w:r>
      <w:r>
        <w:t xml:space="preserve"> </w:t>
      </w:r>
      <w:r>
        <w:t xml:space="preserve">Study I uses the committed synthetic AWS account. Study II uses public</w:t>
      </w:r>
      <w:r>
        <w:t xml:space="preserve"> </w:t>
      </w:r>
      <w:r>
        <w:t xml:space="preserve">Bitbrains and Materna traces </w:t>
      </w:r>
      <w:r>
        <w:t xml:space="preserve">(Shen et al. 2015; Iosup et al. 2008)</w:t>
      </w:r>
      <w:r>
        <w:t xml:space="preserve">, priced</w:t>
      </w:r>
      <w:r>
        <w:t xml:space="preserve"> </w:t>
      </w:r>
      <w:r>
        <w:t xml:space="preserve">against a verified AWS catalog snapshot. The Azure arm uses the Azure Public</w:t>
      </w:r>
      <w:r>
        <w:t xml:space="preserve"> </w:t>
      </w:r>
      <w:r>
        <w:t xml:space="preserve">Dataset V2 lineage associated with Resource Central </w:t>
      </w:r>
      <w:r>
        <w:t xml:space="preserve">(Cortez et al. 2017)</w:t>
      </w:r>
      <w:r>
        <w:t xml:space="preserve">.</w:t>
      </w:r>
    </w:p>
    <w:p>
      <w:pPr>
        <w:pStyle w:val="BodyText"/>
      </w:pPr>
      <w:r>
        <w:t xml:space="preserve">The study uses the GWA fastStorage, GWA Rnd, and GWA Materna traces; the</w:t>
      </w:r>
      <w:r>
        <w:t xml:space="preserve"> </w:t>
      </w:r>
      <w:r>
        <w:t xml:space="preserve">retained Azure aggregate artifact; synthetic account data; the documented AWS</w:t>
      </w:r>
      <w:r>
        <w:t xml:space="preserve"> </w:t>
      </w:r>
      <w:r>
        <w:t xml:space="preserve">price/catalog snapshot; and the derived evidence files recorded in the</w:t>
      </w:r>
      <w:r>
        <w:t xml:space="preserve"> </w:t>
      </w:r>
      <w:r>
        <w:t xml:space="preserve">repository. For the synthetic-account arm, publicly available workload traces</w:t>
      </w:r>
      <w:r>
        <w:t xml:space="preserve"> </w:t>
      </w:r>
      <w:r>
        <w:t xml:space="preserve">and catalog artifacts were processed and organized into a unified synthetic</w:t>
      </w:r>
      <w:r>
        <w:t xml:space="preserve"> </w:t>
      </w:r>
      <w:r>
        <w:t xml:space="preserve">account-level environment with generated resource identifiers. The workloads</w:t>
      </w:r>
      <w:r>
        <w:t xml:space="preserve"> </w:t>
      </w:r>
      <w:r>
        <w:t xml:space="preserve">were assigned across a deliberately complex EC2/RDS-style infrastructure to</w:t>
      </w:r>
      <w:r>
        <w:t xml:space="preserve"> </w:t>
      </w:r>
      <w:r>
        <w:t xml:space="preserve">support controlled evaluation of the implemented optimization workflow. The</w:t>
      </w:r>
      <w:r>
        <w:t xml:space="preserve"> </w:t>
      </w:r>
      <w:r>
        <w:t xml:space="preserve">environment simulates selected structural characteristics of an AWS account</w:t>
      </w:r>
      <w:r>
        <w:t xml:space="preserve"> </w:t>
      </w:r>
      <w:r>
        <w:t xml:space="preserve">but is not a live production account and contains no customer or personal</w:t>
      </w:r>
      <w:r>
        <w:t xml:space="preserve"> </w:t>
      </w:r>
      <w:r>
        <w:t xml:space="preserve">data. The resulting account-level data are synthetic; they are not output from</w:t>
      </w:r>
      <w:r>
        <w:t xml:space="preserve"> </w:t>
      </w:r>
      <w:r>
        <w:t xml:space="preserve">AWS, Azure, or another commercial recommender.</w:t>
      </w:r>
    </w:p>
    <w:bookmarkEnd w:id="22"/>
    <w:bookmarkStart w:id="23" w:name="metrics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Metrics</w:t>
      </w:r>
    </w:p>
    <w:p>
      <w:pPr>
        <w:pStyle w:val="FirstParagraph"/>
      </w:pPr>
      <w:r>
        <w:t xml:space="preserve">Optimization results are reported as estimated monthly cost reduction relative</w:t>
      </w:r>
      <w:r>
        <w:t xml:space="preserve"> </w:t>
      </w:r>
      <w:r>
        <w:t xml:space="preserve">to the relevant baseline. Forecasting uses MAPE, MASE, empirical interval</w:t>
      </w:r>
      <w:r>
        <w:t xml:space="preserve"> </w:t>
      </w:r>
      <w:r>
        <w:t xml:space="preserve">coverage, and paired statistical tests where enough aligned forecast errors</w:t>
      </w:r>
      <w:r>
        <w:t xml:space="preserve"> </w:t>
      </w:r>
      <w:r>
        <w:t xml:space="preserve">exist. Policy-simulation results are normalized as realized test cost as a</w:t>
      </w:r>
      <w:r>
        <w:t xml:space="preserve"> </w:t>
      </w:r>
      <w:r>
        <w:t xml:space="preserve">percentage of an on-demand-only baseline.</w:t>
      </w:r>
    </w:p>
    <w:bookmarkEnd w:id="23"/>
    <w:bookmarkStart w:id="24" w:name="generated-baselines-and-ablations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Generated Baselines and Ablations</w:t>
      </w:r>
    </w:p>
    <w:p>
      <w:pPr>
        <w:pStyle w:val="FirstParagraph"/>
      </w:pPr>
      <w:r>
        <w:t xml:space="preserve">Tables </w:t>
      </w:r>
      <w:hyperlink w:anchor="tab:baselines">
        <w:r>
          <w:rPr>
            <w:rStyle w:val="Hyperlink"/>
          </w:rPr>
          <w:t xml:space="preserve">[tab:baselines]</w:t>
        </w:r>
      </w:hyperlink>
      <w:r>
        <w:t xml:space="preserve">–</w:t>
      </w:r>
      <w:hyperlink w:anchor="tab:runtime">
        <w:r>
          <w:rPr>
            <w:rStyle w:val="Hyperlink"/>
          </w:rPr>
          <w:t xml:space="preserve">[tab:runtime]</w:t>
        </w:r>
      </w:hyperlink>
      <w:r>
        <w:t xml:space="preserve"> </w:t>
      </w:r>
      <w:r>
        <w:t xml:space="preserve">are generated by</w:t>
      </w:r>
      <w:r>
        <w:t xml:space="preserve"> </w:t>
      </w:r>
      <w:r>
        <w:rPr>
          <w:rStyle w:val="VerbatimChar"/>
        </w:rPr>
        <w:t xml:space="preserve">paper/evidence_experiments.py</w:t>
      </w:r>
      <w:r>
        <w:t xml:space="preserve">. The baseline and ablation rows use</w:t>
      </w:r>
      <w:r>
        <w:t xml:space="preserve"> </w:t>
      </w:r>
      <w:r>
        <w:t xml:space="preserve">the committed synthetic account, but EC2 current inventory and EC2 candidates</w:t>
      </w:r>
      <w:r>
        <w:t xml:space="preserve"> </w:t>
      </w:r>
      <w:r>
        <w:t xml:space="preserve">are repriced to the same snapshot AWS catalog so current and recommended costs</w:t>
      </w:r>
      <w:r>
        <w:t xml:space="preserve"> </w:t>
      </w:r>
      <w:r>
        <w:t xml:space="preserve">are comparable. RDS remains on the committed demo DB price basis because the</w:t>
      </w:r>
      <w:r>
        <w:t xml:space="preserve"> </w:t>
      </w:r>
      <w:r>
        <w:t xml:space="preserve">paper snapshot covers EC2 only. EC2 right-sizing costs are evaluated on a</w:t>
      </w:r>
      <w:r>
        <w:t xml:space="preserve"> </w:t>
      </w:r>
      <w:r>
        <w:t xml:space="preserve">common snapshot on-demand price basis so that capacity choices are</w:t>
      </w:r>
      <w:r>
        <w:t xml:space="preserve"> </w:t>
      </w:r>
      <w:r>
        <w:t xml:space="preserve">comparable, including two</w:t>
      </w:r>
      <w:r>
        <w:t xml:space="preserve"> </w:t>
      </w:r>
      <w:r>
        <w:rPr>
          <w:rStyle w:val="VerbatimChar"/>
        </w:rPr>
        <w:t xml:space="preserve">m5.xlarge</w:t>
      </w:r>
      <w:r>
        <w:t xml:space="preserve"> </w:t>
      </w:r>
      <w:r>
        <w:t xml:space="preserve">current-inventory rows originally</w:t>
      </w:r>
      <w:r>
        <w:t xml:space="preserve"> </w:t>
      </w:r>
      <w:r>
        <w:t xml:space="preserve">recorded at RI prices; reserved-instance commitment effects are evaluated</w:t>
      </w:r>
      <w:r>
        <w:t xml:space="preserve"> </w:t>
      </w:r>
      <w:r>
        <w:t xml:space="preserve">separately in the paper-side usage-hour RI replay surrogate and in Study III. This</w:t>
      </w:r>
      <w:r>
        <w:t xml:space="preserve"> </w:t>
      </w:r>
      <w:r>
        <w:t xml:space="preserve">normalization does not mean the originally reserved EC2 inventory would</w:t>
      </w:r>
      <w:r>
        <w:t xml:space="preserve"> </w:t>
      </w:r>
      <w:r>
        <w:t xml:space="preserve">actually be billed at on-demand rates, and it is not a claim about AWS Cost</w:t>
      </w:r>
      <w:r>
        <w:t xml:space="preserve"> </w:t>
      </w:r>
      <w:r>
        <w:t xml:space="preserve">Explorer, Savings Plans, or commercial recommender output. If a service-level</w:t>
      </w:r>
      <w:r>
        <w:t xml:space="preserve"> </w:t>
      </w:r>
      <w:r>
        <w:t xml:space="preserve">MILP is infeasible, the table marks the row as partial or failed and does not</w:t>
      </w:r>
      <w:r>
        <w:t xml:space="preserve"> </w:t>
      </w:r>
      <w:r>
        <w:t xml:space="preserve">report a comparable savings percentage. The restored GWA raw-trace rerun adds</w:t>
      </w:r>
      <w:r>
        <w:t xml:space="preserve"> </w:t>
      </w:r>
      <w:r>
        <w:t xml:space="preserve">Study II bootstrap intervals and a percentile baseline grid in</w:t>
      </w:r>
      <w:r>
        <w:t xml:space="preserve"> </w:t>
      </w:r>
      <w:r>
        <w:rPr>
          <w:rStyle w:val="VerbatimChar"/>
        </w:rPr>
        <w:t xml:space="preserve">results_external.json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table_external_baselines.tex</w:t>
      </w:r>
      <w:r>
        <w:t xml:space="preserve">; the Azure raw</w:t>
      </w:r>
      <w:r>
        <w:t xml:space="preserve"> </w:t>
      </w:r>
      <w:r>
        <w:rPr>
          <w:rStyle w:val="VerbatimChar"/>
        </w:rPr>
        <w:t xml:space="preserve">vmtable.csv.gz</w:t>
      </w:r>
      <w:r>
        <w:t xml:space="preserve"> </w:t>
      </w:r>
      <w:r>
        <w:t xml:space="preserve">remains absent. Table </w:t>
      </w:r>
      <w:hyperlink w:anchor="tab:commercial-like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reports a</w:t>
      </w:r>
      <w:r>
        <w:t xml:space="preserve"> </w:t>
      </w:r>
      <w:r>
        <w:t xml:space="preserve">labeled usage-hour reservation replay surrogate; it is not a commercial-tool</w:t>
      </w:r>
      <w:r>
        <w:t xml:space="preserve"> </w:t>
      </w:r>
      <w:r>
        <w:t xml:space="preserve">output.</w:t>
      </w:r>
    </w:p>
    <w:bookmarkEnd w:id="24"/>
    <w:bookmarkStart w:id="27" w:name="candidate-catalog-completeness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Candidate Catalog Completeness</w:t>
      </w:r>
    </w:p>
    <w:p>
      <w:pPr>
        <w:pStyle w:val="FirstParagraph"/>
      </w:pPr>
      <w:r>
        <w:t xml:space="preserve">The synthetic-account ablations expose a feasibility boundary in the committed</w:t>
      </w:r>
      <w:r>
        <w:t xml:space="preserve"> </w:t>
      </w:r>
      <w:r>
        <w:t xml:space="preserve">demo catalog. The evidence script records 13 EC2 price rows in the database,</w:t>
      </w:r>
      <w:r>
        <w:t xml:space="preserve"> </w:t>
      </w:r>
      <w:r>
        <w:t xml:space="preserve">but only four EC2 rows have the positive price and hardware specifications</w:t>
      </w:r>
      <w:r>
        <w:t xml:space="preserve"> </w:t>
      </w:r>
      <w:r>
        <w:t xml:space="preserve">needed by the implemented MILP; RDS has six price rows and four solver-valid</w:t>
      </w:r>
      <w:r>
        <w:t xml:space="preserve"> </w:t>
      </w:r>
      <w:r>
        <w:t xml:space="preserve">rows. Under</w:t>
      </w:r>
      <w:r>
        <w:t xml:space="preserve"> </w:t>
      </w:r>
      <m:oMath>
        <m:sSub>
          <m:e>
            <m:r>
              <m:t>q</m:t>
            </m:r>
          </m:e>
          <m:sub>
            <m:r>
              <m:t>0.95</m:t>
            </m:r>
          </m:sub>
        </m:sSub>
        <m:r>
          <m:rPr>
            <m:sty m:val="p"/>
          </m:rPr>
          <m:t>×</m:t>
        </m:r>
        <m:r>
          <m:t>1.3</m:t>
        </m:r>
      </m:oMath>
      <w:r>
        <w:t xml:space="preserve"> </w:t>
      </w:r>
      <w:r>
        <w:t xml:space="preserve">and related high-percentile or high-headroom</w:t>
      </w:r>
      <w:r>
        <w:t xml:space="preserve"> </w:t>
      </w:r>
      <w:r>
        <w:t xml:space="preserve">settings, the EC2 constraints exceed that reduced candidate set, so CBC</w:t>
      </w:r>
      <w:r>
        <w:t xml:space="preserve"> </w:t>
      </w:r>
      <w:r>
        <w:t xml:space="preserve">returns an infeasible EC2 assignment while the RDS subproblem remains feasible.</w:t>
      </w:r>
      <w:r>
        <w:t xml:space="preserve"> </w:t>
      </w:r>
      <w:r>
        <w:t xml:space="preserve">This is a catalog-completeness and constraint-feasibility boundary, not a</w:t>
      </w:r>
      <w:r>
        <w:t xml:space="preserve"> </w:t>
      </w:r>
      <w:r>
        <w:t xml:space="preserve">claim that conservative P95 sizing is universally infeasible.</w:t>
      </w:r>
    </w:p>
    <w:p>
      <w:pPr>
        <w:pStyle w:val="BodyText"/>
      </w:pPr>
      <w:r>
        <w:t xml:space="preserve">To separate catalog coverage from policy infeasibility,</w:t>
      </w:r>
      <w:r>
        <w:t xml:space="preserve"> </w:t>
      </w:r>
      <w:r>
        <w:rPr>
          <w:rStyle w:val="VerbatimChar"/>
        </w:rPr>
        <w:t xml:space="preserve">paper/catalog_comparison.py</w:t>
      </w:r>
      <w:r>
        <w:t xml:space="preserve"> </w:t>
      </w:r>
      <w:r>
        <w:t xml:space="preserve">reruns the same baseline and ablation</w:t>
      </w:r>
      <w:r>
        <w:t xml:space="preserve"> </w:t>
      </w:r>
      <w:r>
        <w:t xml:space="preserve">grid while repricing EC2 current inventory and EC2 candidates with the</w:t>
      </w:r>
      <w:r>
        <w:t xml:space="preserve"> </w:t>
      </w:r>
      <w:r>
        <w:t xml:space="preserve">documented, snapshot-dated 28-type AWS Price List catalog used by the</w:t>
      </w:r>
      <w:r>
        <w:t xml:space="preserve"> </w:t>
      </w:r>
      <w:r>
        <w:t xml:space="preserve">external-validation scripts. RDS candidates remain unchanged.</w:t>
      </w:r>
      <w:r>
        <w:t xml:space="preserve"> </w:t>
      </w:r>
      <w:r>
        <w:t xml:space="preserve">Table </w:t>
      </w:r>
      <w:hyperlink w:anchor="tab:catalog-comparison">
        <w:r>
          <w:rPr>
            <w:rStyle w:val="Hyperlink"/>
          </w:rPr>
          <w:t xml:space="preserve">[tab:catalog-comparison]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the non-budget EC2 infeasibilities disappear under this richer EC2 candidate</w:t>
      </w:r>
      <w:r>
        <w:t xml:space="preserve"> </w:t>
      </w:r>
      <w:r>
        <w:t xml:space="preserve">set. The remaining EC2 infeasibilities are confined to explicit budget-cap</w:t>
      </w:r>
      <w:r>
        <w:t xml:space="preserve"> </w:t>
      </w:r>
      <w:r>
        <w:t xml:space="preserve">rows, where the conservative snapshot-priced EC2 assignment exceeds the EC2</w:t>
      </w:r>
      <w:r>
        <w:t xml:space="preserve"> </w:t>
      </w:r>
      <w:r>
        <w:t xml:space="preserve">service-level cap. The paper can safely</w:t>
      </w:r>
      <w:r>
        <w:t xml:space="preserve"> </w:t>
      </w:r>
      <w:r>
        <w:t xml:space="preserve">conclude that production right-sizing pipelines must validate catalog coverage</w:t>
      </w:r>
      <w:r>
        <w:t xml:space="preserve"> </w:t>
      </w:r>
      <w:r>
        <w:t xml:space="preserve">and budget feasibility before applying aggressive headroom policies. It still</w:t>
      </w:r>
      <w:r>
        <w:t xml:space="preserve"> </w:t>
      </w:r>
      <w:r>
        <w:t xml:space="preserve">cannot conclude that a full all-SKU AWS catalog, AWS Compute Optimizer, Azure</w:t>
      </w:r>
      <w:r>
        <w:t xml:space="preserve"> </w:t>
      </w:r>
      <w:r>
        <w:t xml:space="preserve">Advisor, or a commercial FinOps tool would behave the same way.</w:t>
      </w:r>
    </w:p>
    <w:p>
      <w:pPr>
        <w:pStyle w:val="BodyText"/>
      </w:pPr>
      <w:r>
        <w:t xml:space="preserve">EC2 infeasibility disappears for non-budget baseline and ablation rows with the shared-basis snapshot EC2 catalog; remaining EC2 infeasibility is confined to explicit per-service budget-cap rows.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Resources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Saving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Down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($/mo)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inventory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[0.0, 0.0]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utilization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[48.0, 85.5]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 utilization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[50.5, 86.4]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P90 sizing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[17.5, 74.9]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P95 sizing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[17.5, 74.9]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P95 x 1.3 heuristic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[-48.0, 72.5]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P99 sizing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[17.5, 74.9]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utilization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[10.3, 69.2]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Lift-and-shift to P95 x 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126,426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aggregate; raw per-VM CI not rerun</w:t>
            </w:r>
          </w:p>
        </w:tc>
      </w:tr>
    </w:tbl>
    <w:bookmarkStart w:id="25" w:name="tab:service-decomp"/>
    <w:p>
      <w:pPr>
        <w:pStyle w:val="TableCaption"/>
      </w:pPr>
      <w:r>
        <w:t xml:space="preserve">Study I service-level decomposition for the generated</w:t>
      </w:r>
      <w:r>
        <w:t xml:space="preserve"> </w:t>
      </w:r>
      <m:oMath>
        <m:sSub>
          <m:e>
            <m:r>
              <m:t>q</m:t>
            </m:r>
          </m:e>
          <m:sub>
            <m:r>
              <m:t>0.95</m:t>
            </m:r>
          </m:sub>
        </m:sSub>
        <m:r>
          <m:rPr>
            <m:sty m:val="p"/>
          </m:rPr>
          <m:t>×</m:t>
        </m:r>
        <m:r>
          <m:t>1.3</m:t>
        </m:r>
      </m:oMath>
      <w:r>
        <w:t xml:space="preserve"> </w:t>
      </w:r>
      <w:r>
        <w:t xml:space="preserve">row. EC2 current inventory and candidates use the shared snapshot on-demand basis; RDS remains on the committed demo DB basis. Positive deltas indicate cost increases.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Study I service-level decomposition for the generated q_{0.95}\times1.3 row. EC2 current inventory and candidates use the shared snapshot on-demand basis; RDS remains on the committed demo DB basis. Positive deltas indicate cost increases.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Optimized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Delta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($/mo)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($/mo)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($/mo)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Aggregate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-19.0</w:t>
            </w:r>
          </w:p>
        </w:tc>
      </w:tr>
    </w:tbl>
    <w:bookmarkEnd w:id="25"/>
    <w:bookmarkStart w:id="26" w:name="tab:commercial-like"/>
    <w:p>
      <w:pPr>
        <w:pStyle w:val="TableCaption"/>
      </w:pPr>
      <w:r>
        <w:t xml:space="preserve">Paper-side EC2 usage-hour RI replay baseline. The replay uses trailing observed metric coverage and the same snapshot EC2 on-demand/reserved prices; it is not AWS Compute Optimizer, Cost Explorer, Azure Advisor, or third-party recommender output. The 7-, 30-, and 60-day windows collapse to one row because they select the same six fully observed synthetic EC2 instances.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aper-side EC2 usage-hour RI replay baseline. The replay uses trailing observed metric coverage and the same snapshot EC2 on-demand/reserved prices; it is not AWS Compute Optimizer, Cost Explorer, Azure Advisor, or third-party recommender output. The 7-, 30-, and 60-day windows collapse to one row because they select the same six fully observed synthetic EC2 instances.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tcPr/>
          <w:p>
            <w:pPr>
              <w:pStyle w:val="Compact"/>
              <w:jc w:val="left"/>
            </w:pPr>
            <w:r>
              <w:t xml:space="preserve">Lookbacks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Saving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(days)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($/mo)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($/mo)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7/30/60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paper-side replay</w:t>
            </w:r>
          </w:p>
        </w:tc>
      </w:tr>
    </w:tbl>
    <w:bookmarkEnd w:id="26"/>
    <w:bookmarkEnd w:id="27"/>
    <w:bookmarkEnd w:id="28"/>
    <w:bookmarkStart w:id="44" w:name="result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Results</w:t>
      </w:r>
    </w:p>
    <w:bookmarkStart w:id="29" w:name="study-i-synthetic-aws-account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Study I: Synthetic AWS Account</w:t>
      </w:r>
    </w:p>
    <w:p>
      <w:pPr>
        <w:pStyle w:val="FirstParagraph"/>
      </w:pPr>
      <w:r>
        <w:t xml:space="preserve">The synthetic account spans 365 days from 2024-07-01 to 2025-06-30.</w:t>
      </w:r>
      <w:r>
        <w:t xml:space="preserve"> </w:t>
      </w:r>
      <w:r>
        <w:t xml:space="preserve">The pricing audit in</w:t>
      </w:r>
      <w:r>
        <w:t xml:space="preserve"> </w:t>
      </w:r>
      <w:r>
        <w:rPr>
          <w:rStyle w:val="VerbatimChar"/>
        </w:rPr>
        <w:t xml:space="preserve">paper/pricing_audit.md</w:t>
      </w:r>
      <w:r>
        <w:t xml:space="preserve"> </w:t>
      </w:r>
      <w:r>
        <w:t xml:space="preserve">shows that the stored</w:t>
      </w:r>
      <w:r>
        <w:t xml:space="preserve"> </w:t>
      </w:r>
      <w:r>
        <w:t xml:space="preserve">EC2 current-inventory costs are mostly consistent with the snapshot catalog,</w:t>
      </w:r>
      <w:r>
        <w:t xml:space="preserve"> </w:t>
      </w:r>
      <w:r>
        <w:t xml:space="preserve">but several committed</w:t>
      </w:r>
      <w:r>
        <w:t xml:space="preserve"> </w:t>
      </w:r>
      <w:r>
        <w:rPr>
          <w:rStyle w:val="VerbatimChar"/>
        </w:rPr>
        <w:t xml:space="preserve">instance_pricing</w:t>
      </w:r>
      <w:r>
        <w:t xml:space="preserve"> </w:t>
      </w:r>
      <w:r>
        <w:t xml:space="preserve">candidate rows are wrong or</w:t>
      </w:r>
      <w:r>
        <w:t xml:space="preserve"> </w:t>
      </w:r>
      <w:r>
        <w:t xml:space="preserve">incomplete. Consequently, the paper does not use the stale stored</w:t>
      </w:r>
      <w:r>
        <w:t xml:space="preserve"> </w:t>
      </w:r>
      <w:r>
        <w:rPr>
          <w:rStyle w:val="VerbatimChar"/>
        </w:rPr>
        <w:t xml:space="preserve">recommendations</w:t>
      </w:r>
      <w:r>
        <w:t xml:space="preserve"> </w:t>
      </w:r>
      <w:r>
        <w:t xml:space="preserve">table as a headline savings result. The recomputed</w:t>
      </w:r>
      <w:r>
        <w:t xml:space="preserve"> </w:t>
      </w:r>
      <w:r>
        <w:t xml:space="preserve">implementation sanity check emits 15 deduplicated recommendations</w:t>
      </w:r>
      <w:r>
        <w:t xml:space="preserve"> </w:t>
      </w:r>
      <w:r>
        <w:t xml:space="preserve">worth $507.83/mo under the committed demo DB path; this is kept</w:t>
      </w:r>
      <w:r>
        <w:t xml:space="preserve"> </w:t>
      </w:r>
      <w:r>
        <w:t xml:space="preserve">as system-context evidence, not as the paper’s primary price-comparable</w:t>
      </w:r>
      <w:r>
        <w:t xml:space="preserve"> </w:t>
      </w:r>
      <w:r>
        <w:t xml:space="preserve">right-sizing result.</w:t>
      </w:r>
    </w:p>
    <w:p>
      <w:pPr>
        <w:pStyle w:val="BodyText"/>
      </w:pPr>
      <w:r>
        <w:t xml:space="preserve">On the corrected compute-scope price basis, current synthetic compute cost is</w:t>
      </w:r>
      <w:r>
        <w:t xml:space="preserve"> </w:t>
      </w:r>
      <w:r>
        <w:t xml:space="preserve">$1241.58/mo. The deployed</w:t>
      </w:r>
      <w:r>
        <w:t xml:space="preserve"> </w:t>
      </w:r>
      <m:oMath>
        <m:sSub>
          <m:e>
            <m:r>
              <m:t>q</m:t>
            </m:r>
          </m:e>
          <m:sub>
            <m:r>
              <m:t>0.95</m:t>
            </m:r>
          </m:sub>
        </m:sSub>
        <m:r>
          <m:rPr>
            <m:sty m:val="p"/>
          </m:rPr>
          <m:t>×</m:t>
        </m:r>
        <m:r>
          <m:t>1.3</m:t>
        </m:r>
      </m:oMath>
      <w:r>
        <w:t xml:space="preserve"> </w:t>
      </w:r>
      <w:r>
        <w:t xml:space="preserve">MILP row is</w:t>
      </w:r>
      <w:r>
        <w:t xml:space="preserve"> </w:t>
      </w:r>
      <w:r>
        <w:t xml:space="preserve">feasible and costs $1005.65/mo. Table </w:t>
      </w:r>
      <w:hyperlink w:anchor="tab:service-decomp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 why the aggregate 19.0% reduction is not an</w:t>
      </w:r>
      <w:r>
        <w:t xml:space="preserve"> </w:t>
      </w:r>
      <w:r>
        <w:t xml:space="preserve">unqualified optimizer win: EC2 increases from $843.73/mo to</w:t>
      </w:r>
      <w:r>
        <w:t xml:space="preserve"> </w:t>
      </w:r>
      <w:r>
        <w:t xml:space="preserve">$970.61/mo, a $126.87/mo</w:t>
      </w:r>
      <w:r>
        <w:t xml:space="preserve"> </w:t>
      </w:r>
      <w:r>
        <w:t xml:space="preserve">(15.0%) increase, while RDS decreases from</w:t>
      </w:r>
      <w:r>
        <w:t xml:space="preserve"> </w:t>
      </w:r>
      <w:r>
        <w:t xml:space="preserve">$397.85/mo to $35.04/mo, a</w:t>
      </w:r>
      <w:r>
        <w:t xml:space="preserve"> </w:t>
      </w:r>
      <w:r>
        <w:t xml:space="preserve">$362.81/mo (91.2%) decrease. Since RDS remains on</w:t>
      </w:r>
      <w:r>
        <w:t xml:space="preserve"> </w:t>
      </w:r>
      <w:r>
        <w:t xml:space="preserve">the committed demo DB price basis, the aggregate reduction should be read as</w:t>
      </w:r>
      <w:r>
        <w:t xml:space="preserve"> </w:t>
      </w:r>
      <w:r>
        <w:t xml:space="preserve">a method-illustrative service-mix result. The EC2 increase is the more direct</w:t>
      </w:r>
      <w:r>
        <w:t xml:space="preserve"> </w:t>
      </w:r>
      <w:r>
        <w:t xml:space="preserve">evidence for the paper’s boundary condition: conservative headroom can upsize</w:t>
      </w:r>
      <w:r>
        <w:t xml:space="preserve"> </w:t>
      </w:r>
      <w:r>
        <w:t xml:space="preserve">capacity and reduce or reverse service-level savings.</w:t>
      </w:r>
    </w:p>
    <w:p>
      <w:pPr>
        <w:pStyle w:val="BodyText"/>
      </w:pPr>
      <w:r>
        <w:t xml:space="preserve">The usage-hour replay surrogate recommends 6 EC2</w:t>
      </w:r>
      <w:r>
        <w:t xml:space="preserve"> </w:t>
      </w:r>
      <w:r>
        <w:t xml:space="preserve">reservations over the 7/30/60 day look-back windows,</w:t>
      </w:r>
      <w:r>
        <w:t xml:space="preserve"> </w:t>
      </w:r>
      <w:r>
        <w:t xml:space="preserve">saving $209.15/mo (37.1%) on</w:t>
      </w:r>
      <w:r>
        <w:t xml:space="preserve"> </w:t>
      </w:r>
      <w:r>
        <w:t xml:space="preserve">eligible EC2 on-demand spend. The rows collapse because all six eligible</w:t>
      </w:r>
      <w:r>
        <w:t xml:space="preserve"> </w:t>
      </w:r>
      <w:r>
        <w:t xml:space="preserve">synthetic on-demand EC2 instances have full metric coverage in every window</w:t>
      </w:r>
      <w:r>
        <w:t xml:space="preserve"> </w:t>
      </w:r>
      <w:r>
        <w:t xml:space="preserve">and the snapshot reserved/on-demand prices are static. These are synthetic,</w:t>
      </w:r>
      <w:r>
        <w:t xml:space="preserve"> </w:t>
      </w:r>
      <w:r>
        <w:t xml:space="preserve">method-illustrative estimates and not realized production savings.</w:t>
      </w:r>
    </w:p>
    <w:p>
      <w:pPr>
        <w:pStyle w:val="BodyText"/>
      </w:pPr>
      <w:r>
        <w:t xml:space="preserve">Forecasting is useful but not decisive for the cost results. Table </w:t>
      </w:r>
      <w:hyperlink w:anchor="tab:mape">
        <w:r>
          <w:rPr>
            <w:rStyle w:val="Hyperlink"/>
          </w:rPr>
          <w:t xml:space="preserve">[tab:mape]</w:t>
        </w:r>
      </w:hyperlink>
      <w:r>
        <w:t xml:space="preserve"> </w:t>
      </w:r>
      <w:r>
        <w:t xml:space="preserve">shows walk-forward MAPE on the synthetic account. ETS has the best mean at</w:t>
      </w:r>
      <w:r>
        <w:t xml:space="preserve"> </w:t>
      </w:r>
      <w:r>
        <w:t xml:space="preserve">the 30-day horizon (11.2%), but the ETS versus seasonal-naive difference</w:t>
      </w:r>
      <w:r>
        <w:t xml:space="preserve"> </w:t>
      </w:r>
      <w:r>
        <w:t xml:space="preserve">is not statistically significant at the reported sample size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0.198</m:t>
        </m:r>
      </m:oMath>
      <w:r>
        <w:t xml:space="preserve">). The paper therefore treats ETS as the selected model for</w:t>
      </w:r>
      <w:r>
        <w:t xml:space="preserve"> </w:t>
      </w:r>
      <w:r>
        <w:t xml:space="preserve">monitoring, not as proof of forecasting superiority.</w:t>
      </w:r>
    </w:p>
    <w:p>
      <w:pPr>
        <w:pStyle w:val="BodyText"/>
      </w:pPr>
      <w:r>
        <w:t xml:space="preserve">Tables </w:t>
      </w:r>
      <w:hyperlink w:anchor="tab:baselines">
        <w:r>
          <w:rPr>
            <w:rStyle w:val="Hyperlink"/>
          </w:rPr>
          <w:t xml:space="preserve">[tab:baselines]</w:t>
        </w:r>
      </w:hyperlink>
      <w:r>
        <w:t xml:space="preserve"> </w:t>
      </w:r>
      <w:r>
        <w:t xml:space="preserve">and </w:t>
      </w:r>
      <w:hyperlink w:anchor="tab:ablations">
        <w:r>
          <w:rPr>
            <w:rStyle w:val="Hyperlink"/>
          </w:rPr>
          <w:t xml:space="preserve">[tab:ablations]</w:t>
        </w:r>
      </w:hyperlink>
      <w:r>
        <w:t xml:space="preserve"> </w:t>
      </w:r>
      <w:r>
        <w:t xml:space="preserve">further qualify Study I.</w:t>
      </w:r>
      <w:r>
        <w:t xml:space="preserve"> </w:t>
      </w:r>
      <w:r>
        <w:t xml:space="preserve">The generated baseline table uses the snapshot EC2 current/candidate basis,</w:t>
      </w:r>
      <w:r>
        <w:t xml:space="preserve"> </w:t>
      </w:r>
      <w:r>
        <w:t xml:space="preserve">where the non-budget</w:t>
      </w:r>
      <w:r>
        <w:t xml:space="preserve"> </w:t>
      </w:r>
      <m:oMath>
        <m:sSub>
          <m:e>
            <m:r>
              <m:t>q</m:t>
            </m:r>
          </m:e>
          <m:sub>
            <m:r>
              <m:t>0.95</m:t>
            </m:r>
          </m:sub>
        </m:sSub>
        <m:r>
          <m:rPr>
            <m:sty m:val="p"/>
          </m:rPr>
          <m:t>×</m:t>
        </m:r>
        <m:r>
          <m:t>1.3</m:t>
        </m:r>
      </m:oMath>
      <w:r>
        <w:t xml:space="preserve"> </w:t>
      </w:r>
      <w:r>
        <w:t xml:space="preserve">row is feasible. The catalog</w:t>
      </w:r>
      <w:r>
        <w:t xml:space="preserve"> </w:t>
      </w:r>
      <w:r>
        <w:t xml:space="preserve">comparison in Table </w:t>
      </w:r>
      <w:hyperlink w:anchor="tab:catalog-comparison">
        <w:r>
          <w:rPr>
            <w:rStyle w:val="Hyperlink"/>
          </w:rPr>
          <w:t xml:space="preserve">[tab:catalog-comparison]</w:t>
        </w:r>
      </w:hyperlink>
      <w:r>
        <w:t xml:space="preserve"> </w:t>
      </w:r>
      <w:r>
        <w:t xml:space="preserve">preserves the original demo</w:t>
      </w:r>
      <w:r>
        <w:t xml:space="preserve"> </w:t>
      </w:r>
      <w:r>
        <w:t xml:space="preserve">catalog outcome: with only four solver-valid EC2 candidates, the EC2</w:t>
      </w:r>
      <w:r>
        <w:t xml:space="preserve"> </w:t>
      </w:r>
      <w:r>
        <w:t xml:space="preserve">subproblem is infeasible under the same policy while RDS remains feasible.</w:t>
      </w:r>
      <w:r>
        <w:t xml:space="preserve"> </w:t>
      </w:r>
      <w:r>
        <w:t xml:space="preserve">Partial original-demo rows are therefore marked as non-comparable savings</w:t>
      </w:r>
      <w:r>
        <w:t xml:space="preserve"> </w:t>
      </w:r>
      <w:r>
        <w:t xml:space="preserve">estimates; fallback costs are retained only in JSON diagnostics. These rows</w:t>
      </w:r>
      <w:r>
        <w:t xml:space="preserve"> </w:t>
      </w:r>
      <w:r>
        <w:t xml:space="preserve">should be read as a feasibility boundary condition, not as evidence of a</w:t>
      </w:r>
      <w:r>
        <w:t xml:space="preserve"> </w:t>
      </w:r>
      <w:r>
        <w:t xml:space="preserve">complete EC2 right-sizing solution or as a universal failure of P95</w:t>
      </w:r>
      <w:r>
        <w:t xml:space="preserve"> </w:t>
      </w:r>
      <w:r>
        <w:t xml:space="preserve">right-sizing. Replacing the incomplete demo EC2 catalog with the documented</w:t>
      </w:r>
      <w:r>
        <w:t xml:space="preserve"> </w:t>
      </w:r>
      <w:r>
        <w:t xml:space="preserve">28-type snapshot EC2 candidate set makes the non-budget P95 and</w:t>
      </w:r>
      <w:r>
        <w:t xml:space="preserve"> </w:t>
      </w:r>
      <w:r>
        <w:t xml:space="preserve">high-percentile/headroom rows feasible, while explicit per-service budget caps</w:t>
      </w:r>
      <w:r>
        <w:t xml:space="preserve"> </w:t>
      </w:r>
      <w:r>
        <w:t xml:space="preserve">remain a separate infeasibility boundary.</w:t>
      </w:r>
    </w:p>
    <w:bookmarkEnd w:id="29"/>
    <w:bookmarkStart w:id="32" w:name="study-ii-external-real-trace-validation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Study II: External Real-Trace Validation</w:t>
      </w:r>
    </w:p>
    <w:p>
      <w:pPr>
        <w:pStyle w:val="FirstParagraph"/>
      </w:pPr>
      <w:r>
        <w:t xml:space="preserve">Table </w:t>
      </w:r>
      <w:hyperlink w:anchor="tab:external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reports real-trace right-sizing from restored GWA</w:t>
      </w:r>
      <w:r>
        <w:t xml:space="preserve"> </w:t>
      </w:r>
      <w:r>
        <w:t xml:space="preserve">raw traces. The baseline maps each VM to the cheapest AWS type covering</w:t>
      </w:r>
      <w:r>
        <w:t xml:space="preserve"> </w:t>
      </w:r>
      <w:r>
        <w:t xml:space="preserve">provisioned cores and memory. The optimized assignment uses the deployed</w:t>
      </w:r>
      <w:r>
        <w:t xml:space="preserve"> </w:t>
      </w:r>
      <m:oMath>
        <m:sSub>
          <m:e>
            <m:r>
              <m:t>q</m:t>
            </m:r>
          </m:e>
          <m:sub>
            <m:r>
              <m:t>0.95</m:t>
            </m:r>
          </m:sub>
        </m:sSub>
        <m:r>
          <m:rPr>
            <m:sty m:val="p"/>
          </m:rPr>
          <m:t>×</m:t>
        </m:r>
        <m:r>
          <m:t>1.3</m:t>
        </m:r>
      </m:oMath>
      <w:r>
        <w:t xml:space="preserve"> </w:t>
      </w:r>
      <w:r>
        <w:t xml:space="preserve">requirements. On Bitbrains fastStorage and Rnd,</w:t>
      </w:r>
      <w:r>
        <w:t xml:space="preserve"> </w:t>
      </w:r>
      <w:r>
        <w:t xml:space="preserve">right-sizing saves 33.6% (95% CI</w:t>
      </w:r>
      <w:r>
        <w:t xml:space="preserve"> </w:t>
      </w:r>
      <w:r>
        <w:t xml:space="preserve">24.5–41.8%) and 33.1%</w:t>
      </w:r>
      <w:r>
        <w:t xml:space="preserve"> </w:t>
      </w:r>
      <w:r>
        <w:t xml:space="preserve">(19.3–46.3%), respectively. On Materna, the</w:t>
      </w:r>
      <w:r>
        <w:t xml:space="preserve"> </w:t>
      </w:r>
      <w:r>
        <w:t xml:space="preserve">saving is 74.2% (71.4–76.8%),</w:t>
      </w:r>
      <w:r>
        <w:t xml:space="preserve"> </w:t>
      </w:r>
      <w:r>
        <w:t xml:space="preserve">reflecting much larger over-provisioning in that trace. Across all restored</w:t>
      </w:r>
      <w:r>
        <w:t xml:space="preserve"> </w:t>
      </w:r>
      <w:r>
        <w:t xml:space="preserve">GWA VMs, the aggregate saving is 41.8%</w:t>
      </w:r>
      <w:r>
        <w:t xml:space="preserve"> </w:t>
      </w:r>
      <w:r>
        <w:t xml:space="preserve">(35.9–47.5%). Applying one-year</w:t>
      </w:r>
      <w:r>
        <w:t xml:space="preserve"> </w:t>
      </w:r>
      <w:r>
        <w:t xml:space="preserve">reserved pricing to the optimized always-on trace fleet raises total</w:t>
      </w:r>
      <w:r>
        <w:t xml:space="preserve"> </w:t>
      </w:r>
      <w:r>
        <w:t xml:space="preserve">reductions to 58.3%, 58.0%, and</w:t>
      </w:r>
      <w:r>
        <w:t xml:space="preserve"> </w:t>
      </w:r>
      <w:r>
        <w:t xml:space="preserve">83.8%. Using one-year RI pricing, the pooled mapped reduction</w:t>
      </w:r>
      <w:r>
        <w:t xml:space="preserve"> </w:t>
      </w:r>
      <w:r>
        <w:t xml:space="preserve">is 63.4% (95% CI</w:t>
      </w:r>
      <w:r>
        <w:t xml:space="preserve"> </w:t>
      </w:r>
      <w:r>
        <w:t xml:space="preserve">59.7–67.0%).</w:t>
      </w:r>
    </w:p>
    <w:bookmarkStart w:id="30" w:name="tab:external"/>
    <w:p>
      <w:pPr>
        <w:pStyle w:val="TableCaption"/>
      </w:pPr>
      <w:r>
        <w:t xml:space="preserve">Study II restored-GWA right-sizing at AWS on-demand rates from</w:t>
      </w:r>
      <w:r>
        <w:t xml:space="preserve"> </w:t>
      </w:r>
      <w:r>
        <w:t xml:space="preserve">snapshot 2026-06-30.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RI column applies one-year reserved pricing.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Study II restored-GWA right-sizing at AWS on-demand rates from snapshot 2026-06-30. The +RI column applies one-year reserved pricing.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Optimized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Saving /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RI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($/mo)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($/mo)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fastStorage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128,588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33.6 / 58.3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33.1 / 58.0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74.2 / 83.8</w:t>
            </w:r>
          </w:p>
        </w:tc>
      </w:tr>
    </w:tbl>
    <w:bookmarkEnd w:id="30"/>
    <w:p/>
    <w:bookmarkStart w:id="31" w:name="tab:external-baselines"/>
    <w:p>
      <w:pPr>
        <w:pStyle w:val="TableCaption"/>
      </w:pPr>
      <w:r>
        <w:t xml:space="preserve">Study II GWA baseline grid: savings vs. lift-and-shift (%). Full CIs</w:t>
      </w:r>
      <w:r>
        <w:t xml:space="preserve"> </w:t>
      </w:r>
      <w:r>
        <w:t xml:space="preserve">and costs are in</w:t>
      </w:r>
      <w:r>
        <w:t xml:space="preserve"> </w:t>
      </w:r>
      <w:r>
        <w:rPr>
          <w:rStyle w:val="VerbatimChar"/>
        </w:rPr>
        <w:t xml:space="preserve">table_external_baselines.tex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tudy II GWA baseline grid: savings vs. lift-and-shift (%). Full CIs and costs are in table_external_baselines.tex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fastStorage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Materna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Lift-and-shift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P95 x 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74.2</w:t>
            </w:r>
          </w:p>
        </w:tc>
      </w:tr>
    </w:tbl>
    <w:bookmarkEnd w:id="31"/>
    <w:p>
      <w:pPr>
        <w:pStyle w:val="BodyText"/>
      </w:pPr>
      <w:r>
        <w:t xml:space="preserve">Table </w:t>
      </w:r>
      <w:hyperlink w:anchor="tab:external-baselines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shows that mean, median, and</w:t>
      </w:r>
      <w:r>
        <w:t xml:space="preserve"> </w:t>
      </w:r>
      <w:r>
        <w:t xml:space="preserve">less-conservative percentile sizing can produce higher apparent mapped savings than</w:t>
      </w:r>
      <w:r>
        <w:t xml:space="preserve"> </w:t>
      </w:r>
      <m:oMath>
        <m:sSub>
          <m:e>
            <m:r>
              <m:t>q</m:t>
            </m:r>
          </m:e>
          <m:sub>
            <m:r>
              <m:t>0.95</m:t>
            </m:r>
          </m:sub>
        </m:sSub>
        <m:r>
          <m:rPr>
            <m:sty m:val="p"/>
          </m:rPr>
          <m:t>×</m:t>
        </m:r>
        <m:r>
          <m:t>1.3</m:t>
        </m:r>
      </m:oMath>
      <w:r>
        <w:t xml:space="preserve">. This does not make them better policies by itself: the</w:t>
      </w:r>
      <w:r>
        <w:t xml:space="preserve"> </w:t>
      </w:r>
      <w:r>
        <w:t xml:space="preserve">paper does not yet evaluate SLO or performance-risk violations after</w:t>
      </w:r>
      <w:r>
        <w:t xml:space="preserve"> </w:t>
      </w:r>
      <w:r>
        <w:t xml:space="preserve">right-sizing. The result instead exposes the savings-risk frontier central to</w:t>
      </w:r>
      <w:r>
        <w:t xml:space="preserve"> </w:t>
      </w:r>
      <w:r>
        <w:t xml:space="preserve">the paper: conservative headroom reduces risk exposure but can sacrifice</w:t>
      </w:r>
      <w:r>
        <w:t xml:space="preserve"> </w:t>
      </w:r>
      <w:r>
        <w:t xml:space="preserve">savings, so P95 x 1.3 should not be oversold as savings-optimal.</w:t>
      </w:r>
    </w:p>
    <w:p>
      <w:pPr>
        <w:pStyle w:val="BodyText"/>
      </w:pPr>
      <w:r>
        <w:t xml:space="preserve">The Azure study is deliberately included as a negative boundary condition, but</w:t>
      </w:r>
      <w:r>
        <w:t xml:space="preserve"> </w:t>
      </w:r>
      <w:r>
        <w:t xml:space="preserve">it was not rerun in this workspace because the raw V2</w:t>
      </w:r>
      <w:r>
        <w:t xml:space="preserve"> </w:t>
      </w:r>
      <w:r>
        <w:rPr>
          <w:rStyle w:val="VerbatimChar"/>
        </w:rPr>
        <w:t xml:space="preserve">vmtable.csv.gz</w:t>
      </w:r>
      <w:r>
        <w:t xml:space="preserve"> </w:t>
      </w:r>
      <w:r>
        <w:t xml:space="preserve">input is absent. The committed generated result retains</w:t>
      </w:r>
      <w:r>
        <w:t xml:space="preserve"> </w:t>
      </w:r>
      <w:r>
        <w:t xml:space="preserve">237,272 filtered VMs. Since Azure publishes a max-based CPU percentile and no</w:t>
      </w:r>
      <w:r>
        <w:t xml:space="preserve"> </w:t>
      </w:r>
      <w:r>
        <w:t xml:space="preserve">per-VM memory-usage series in the vmtable input, memory is held at the</w:t>
      </w:r>
      <w:r>
        <w:t xml:space="preserve"> </w:t>
      </w:r>
      <w:r>
        <w:t xml:space="preserve">provisioned bucket. Under those semantics, right-sizing alone is cost-negative</w:t>
      </w:r>
      <w:r>
        <w:t xml:space="preserve"> </w:t>
      </w:r>
      <w:r>
        <w:t xml:space="preserve">(-3.8%), although reserved pricing still yields 34.8%.</w:t>
      </w:r>
      <w:r>
        <w:t xml:space="preserve"> </w:t>
      </w:r>
      <w:r>
        <w:t xml:space="preserve">This result limits the generality of P95 right-sizing: the rule depends on</w:t>
      </w:r>
      <w:r>
        <w:t xml:space="preserve"> </w:t>
      </w:r>
      <w:r>
        <w:t xml:space="preserve">what the utilization percentile means and on which resources are measurable.</w:t>
      </w:r>
    </w:p>
    <w:p>
      <w:pPr>
        <w:pStyle w:val="BodyText"/>
      </w:pPr>
      <w:r>
        <w:t xml:space="preserve">Forecasting the real aggregate is difficult: at 24 hours the best hourly model</w:t>
      </w:r>
      <w:r>
        <w:t xml:space="preserve"> </w:t>
      </w:r>
      <w:r>
        <w:t xml:space="preserve">is Prophet with 60.8% MAPE, and tested pairwise differences</w:t>
      </w:r>
      <w:r>
        <w:t xml:space="preserve"> </w:t>
      </w:r>
      <w:r>
        <w:t xml:space="preserve">are not statistically significant (e.g., ETS vs. seasonal-naive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0.232</m:t>
        </m:r>
      </m:oMath>
      <w:r>
        <w:t xml:space="preserve">). Table </w:t>
      </w:r>
      <w:hyperlink w:anchor="tab:extmape">
        <w:r>
          <w:rPr>
            <w:rStyle w:val="Hyperlink"/>
          </w:rPr>
          <w:t xml:space="preserve">[tab:extmape]</w:t>
        </w:r>
      </w:hyperlink>
      <w:r>
        <w:t xml:space="preserve"> </w:t>
      </w:r>
      <w:r>
        <w:t xml:space="preserve">supports treating forecasts as</w:t>
      </w:r>
      <w:r>
        <w:t xml:space="preserve"> </w:t>
      </w:r>
      <w:r>
        <w:t xml:space="preserve">monitoring context rather than savings drivers.</w:t>
      </w:r>
    </w:p>
    <w:bookmarkEnd w:id="32"/>
    <w:bookmarkStart w:id="43" w:name="sec:policy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Study III: Price of Conservatism</w:t>
      </w:r>
    </w:p>
    <w:p>
      <w:pPr>
        <w:pStyle w:val="FirstParagraph"/>
      </w:pPr>
      <w:r>
        <w:t xml:space="preserve">The policy simulation splits demand chronologically into train and test</w:t>
      </w:r>
      <w:r>
        <w:t xml:space="preserve"> </w:t>
      </w:r>
      <w:r>
        <w:t xml:space="preserve">segments, sizes each policy on training data, and charges it on held-out test</w:t>
      </w:r>
      <w:r>
        <w:t xml:space="preserve"> </w:t>
      </w:r>
      <w:r>
        <w:t xml:space="preserve">demand. The synthetic run uses 219 training days and</w:t>
      </w:r>
      <w:r>
        <w:t xml:space="preserve"> </w:t>
      </w:r>
      <w:r>
        <w:t xml:space="preserve">146 test days; the real-trace run uses 1285 training</w:t>
      </w:r>
      <w:r>
        <w:t xml:space="preserve"> </w:t>
      </w:r>
      <w:r>
        <w:t xml:space="preserve">hours and 857 test hours. The theoretical formulation expresses</w:t>
      </w:r>
      <w:r>
        <w:t xml:space="preserve"> </w:t>
      </w:r>
      <w:r>
        <w:t xml:space="preserve">demand and commitment in physical-capacity units. In the empirical</w:t>
      </w:r>
      <w:r>
        <w:t xml:space="preserve"> </w:t>
      </w:r>
      <w:r>
        <w:t xml:space="preserve">evaluation, the synthetic arm reads daily account cost, so its input series</w:t>
      </w:r>
      <w:r>
        <w:t xml:space="preserve"> </w:t>
      </w:r>
      <w:r>
        <w:t xml:space="preserve">and commitment proxy are measured in USD/day, whereas the restored Rnd arm is</w:t>
      </w:r>
      <w:r>
        <w:t xml:space="preserve"> </w:t>
      </w:r>
      <w:r>
        <w:t xml:space="preserve">measured in MHz. The synthetic arm therefore evaluates policy behavior on a</w:t>
      </w:r>
      <w:r>
        <w:t xml:space="preserve"> </w:t>
      </w:r>
      <w:r>
        <w:t xml:space="preserve">cost-proxy time series rather than simulating physical-capacity allocation or</w:t>
      </w:r>
      <w:r>
        <w:t xml:space="preserve"> </w:t>
      </w:r>
      <w:r>
        <w:t xml:space="preserve">provider billing. At the catalog reserved/on-demand</w:t>
      </w:r>
      <w:r>
        <w:t xml:space="preserve"> </w:t>
      </w:r>
      <w:r>
        <w:t xml:space="preserve">ratio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0.63</m:t>
        </m:r>
      </m:oMath>
      <w:r>
        <w:t xml:space="preserve">, the deployed</w:t>
      </w:r>
      <w:r>
        <w:t xml:space="preserve"> </w:t>
      </w:r>
      <m:oMath>
        <m:sSub>
          <m:e>
            <m:r>
              <m:t>q</m:t>
            </m:r>
          </m:e>
          <m:sub>
            <m:r>
              <m:t>0.95</m:t>
            </m:r>
          </m:sub>
        </m:sSub>
        <m:r>
          <m:rPr>
            <m:sty m:val="p"/>
          </m:rPr>
          <m:t>×</m:t>
        </m:r>
        <m:r>
          <m:t>1.3</m:t>
        </m:r>
      </m:oMath>
      <w:r>
        <w:t xml:space="preserve"> </w:t>
      </w:r>
      <w:r>
        <w:t xml:space="preserve">heuristic,</w:t>
      </w:r>
      <w:r>
        <w:t xml:space="preserve"> </w:t>
      </w:r>
      <w:r>
        <w:t xml:space="preserve">read counterfactually as a reservation-sizing rule, realizes 101.8%</w:t>
      </w:r>
      <w:r>
        <w:t xml:space="preserve"> </w:t>
      </w:r>
      <w:r>
        <w:t xml:space="preserve">of on-demand cost on the synthetic account and 153.5% on the real</w:t>
      </w:r>
      <w:r>
        <w:t xml:space="preserve"> </w:t>
      </w:r>
      <w:r>
        <w:t xml:space="preserve">trace. The newsvendor fractile realizes 73.6% and 86.2%.</w:t>
      </w:r>
      <w:r>
        <w:t xml:space="preserve"> </w:t>
      </w:r>
      <w:r>
        <w:t xml:space="preserve">To avoid comparing only against a deliberately conservative strawman,</w:t>
      </w:r>
      <w:r>
        <w:t xml:space="preserve"> </w:t>
      </w:r>
      <w:r>
        <w:t xml:space="preserve">Tables </w:t>
      </w:r>
      <w:hyperlink w:anchor="tab:policy_synth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and </w:t>
      </w:r>
      <w:hyperlink w:anchor="tab:policy_ext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also include</w:t>
      </w:r>
      <w:r>
        <w:t xml:space="preserve"> </w:t>
      </w:r>
      <w:r>
        <w:t xml:space="preserve">paper-side 7-, 30-, and 60-day look-back replay policies. These results are</w:t>
      </w:r>
      <w:r>
        <w:t xml:space="preserve"> </w:t>
      </w:r>
      <w:r>
        <w:t xml:space="preserve">paper-side replay surrogates and are not outputs from AWS, Azure, or another</w:t>
      </w:r>
      <w:r>
        <w:t xml:space="preserve"> </w:t>
      </w:r>
      <w:r>
        <w:t xml:space="preserve">commercial recommendation system. On the real</w:t>
      </w:r>
      <w:r>
        <w:t xml:space="preserve"> </w:t>
      </w:r>
      <w:r>
        <w:t xml:space="preserve">trace at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0.63</m:t>
        </m:r>
      </m:oMath>
      <w:r>
        <w:t xml:space="preserve">, the 30-day replay realizes</w:t>
      </w:r>
      <w:r>
        <w:t xml:space="preserve"> </w:t>
      </w:r>
      <w:r>
        <w:t xml:space="preserve">84.9% of on-demand cost, while the 7-day replay realizes</w:t>
      </w:r>
      <w:r>
        <w:t xml:space="preserve"> </w:t>
      </w:r>
      <w:r>
        <w:t xml:space="preserve">91.2%, showing that look-back choice matters under bursts.</w:t>
      </w:r>
      <w:r>
        <w:t xml:space="preserve"> </w:t>
      </w:r>
      <w:r>
        <w:t xml:space="preserve">The real-trace 60-day row equals newsvendor because the training split is</w:t>
      </w:r>
      <w:r>
        <w:t xml:space="preserve"> </w:t>
      </w:r>
      <w:r>
        <w:t xml:space="preserve">shorter than the requested 60-day window, so the replay uses the full training</w:t>
      </w:r>
      <w:r>
        <w:t xml:space="preserve"> </w:t>
      </w:r>
      <w:r>
        <w:t xml:space="preserve">set.</w:t>
      </w:r>
    </w:p>
    <w:p>
      <w:pPr>
        <w:pStyle w:val="BodyText"/>
      </w:pPr>
      <w:r>
        <w:t xml:space="preserve">Fig. </w:t>
      </w:r>
      <w:hyperlink w:anchor="fig:policy_synth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and Fig. </w:t>
      </w:r>
      <w:hyperlink w:anchor="fig:policy_ext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plot the cost curves.</w:t>
      </w:r>
      <w:r>
        <w:t xml:space="preserve"> </w:t>
      </w:r>
      <w:r>
        <w:t xml:space="preserve">Tables </w:t>
      </w:r>
      <w:hyperlink w:anchor="tab:policy_synth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and </w:t>
      </w:r>
      <w:hyperlink w:anchor="tab:policy_ext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give selected</w:t>
      </w:r>
      <w:r>
        <w:t xml:space="preserve"> </w:t>
      </w:r>
      <w:r>
        <w:t xml:space="preserve">discount levels. The SAA stochastic program recovers the newsvendor quantile</w:t>
      </w:r>
      <w:r>
        <w:t xml:space="preserve"> </w:t>
      </w:r>
      <w:r>
        <w:t xml:space="preserve">closely, which validates the closed-form policy and the simulator rather</w:t>
      </w:r>
      <w:r>
        <w:t xml:space="preserve"> </w:t>
      </w:r>
      <w:r>
        <w:t xml:space="preserve">than establishing a separate competing method. The dual-capacity policy adds</w:t>
      </w:r>
      <w:r>
        <w:t xml:space="preserve"> </w:t>
      </w:r>
      <w:r>
        <w:t xml:space="preserve">little on the synthetic daily series but materially improves the real trace,</w:t>
      </w:r>
      <w:r>
        <w:t xml:space="preserve"> </w:t>
      </w:r>
      <w:r>
        <w:t xml:space="preserve">where surge states persist long enough for causal activation to retain most</w:t>
      </w:r>
      <w:r>
        <w:t xml:space="preserve"> </w:t>
      </w:r>
      <w:r>
        <w:t xml:space="preserve">of the value. The look-back rows are therefore a sanity-check replay family,</w:t>
      </w:r>
      <w:r>
        <w:t xml:space="preserve"> </w:t>
      </w:r>
      <w:r>
        <w:t xml:space="preserve">not a substitute for a direct commercial recommender baseline.</w:t>
      </w:r>
    </w:p>
    <w:bookmarkStart w:id="36" w:name="fig:policy_synth"/>
    <w:p>
      <w:pPr>
        <w:pStyle w:val="CaptionedFigure"/>
      </w:pPr>
      <w:r>
        <w:drawing>
          <wp:inline>
            <wp:extent cx="3149600" cy="21844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ig_policy_gamma.pdf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0" cy="218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Study III synthetic policy simulation: realized held-out cost as a</w:t>
      </w:r>
      <w:r>
        <w:t xml:space="preserve"> </w:t>
      </w:r>
      <w:r>
        <w:t xml:space="preserve">percentage of on-demand-only cost across reserved/on-demand ratios.</w:t>
      </w:r>
    </w:p>
    <w:bookmarkEnd w:id="36"/>
    <w:bookmarkStart w:id="40" w:name="fig:policy_ext"/>
    <w:p>
      <w:pPr>
        <w:pStyle w:val="CaptionedFigure"/>
      </w:pPr>
      <w:r>
        <w:drawing>
          <wp:inline>
            <wp:extent cx="3149600" cy="21844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fig_policy_gamma_ext.pdf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0" cy="218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Study III real-trace policy simulation on Bitbrains Rnd aggregate</w:t>
      </w:r>
      <w:r>
        <w:t xml:space="preserve"> </w:t>
      </w:r>
      <w:r>
        <w:t xml:space="preserve">demand. The dual-capacity variants are most valuable when surge states persist.</w:t>
      </w:r>
    </w:p>
    <w:bookmarkEnd w:id="40"/>
    <w:bookmarkStart w:id="41" w:name="tab:policy_synth"/>
    <w:p>
      <w:pPr>
        <w:pStyle w:val="TableCaption"/>
      </w:pPr>
      <w:r>
        <w:t xml:space="preserve">Study III synthetic policy costs as % of on-demand-only.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tudy III synthetic policy costs as % of on-demand-only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0.60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0.70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0.80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0.90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P95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1.3 counterfactual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newsvendor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γ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70.8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SAA stochastic program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7-day recency-window replay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30-day recency-window replay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70.5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79.7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87.4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60-day recency-window replay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obs. 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lagged signal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perfect-information bound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90.0</w:t>
            </w:r>
          </w:p>
        </w:tc>
      </w:tr>
    </w:tbl>
    <w:bookmarkEnd w:id="41"/>
    <w:p/>
    <w:bookmarkStart w:id="42" w:name="tab:policy_ext"/>
    <w:p>
      <w:pPr>
        <w:pStyle w:val="TableCaption"/>
      </w:pPr>
      <w:r>
        <w:t xml:space="preserve">Study III real-trace policy costs as % of on-demand-only.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tudy III real-trace policy costs as % of on-demand-only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0.60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0.70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0.80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0.90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P95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1.3 counterfactual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newsvendor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γ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84.4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SAA stochastic program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7-day recency-window replay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30-day recency-window replay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60-day recency-window replay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obs. 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lagged signal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75.8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83.1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89.6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perfect-information bound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90.0</w:t>
            </w:r>
          </w:p>
        </w:tc>
      </w:tr>
    </w:tbl>
    <w:bookmarkEnd w:id="42"/>
    <w:bookmarkEnd w:id="43"/>
    <w:bookmarkEnd w:id="44"/>
    <w:bookmarkStart w:id="48" w:name="discussion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Discussion</w:t>
      </w:r>
    </w:p>
    <w:bookmarkStart w:id="45" w:name="what-the-system-can-safely-claim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What the System Can Safely Claim</w:t>
      </w:r>
    </w:p>
    <w:p>
      <w:pPr>
        <w:pStyle w:val="FirstParagraph"/>
      </w:pPr>
      <w:r>
        <w:t xml:space="preserve">The repository supports three defensible claims. First, the implemented</w:t>
      </w:r>
      <w:r>
        <w:t xml:space="preserve"> </w:t>
      </w:r>
      <w:r>
        <w:t xml:space="preserve">optimizer combines MILP right-sizing and transparent service rules. Second,</w:t>
      </w:r>
      <w:r>
        <w:t xml:space="preserve"> </w:t>
      </w:r>
      <w:r>
        <w:t xml:space="preserve">the paper scripts reproduce a multi-part evaluation from database, public</w:t>
      </w:r>
      <w:r>
        <w:t xml:space="preserve"> </w:t>
      </w:r>
      <w:r>
        <w:t xml:space="preserve">traces, and a snapshot-dated price catalog. Third, the policy simulation</w:t>
      </w:r>
      <w:r>
        <w:t xml:space="preserve"> </w:t>
      </w:r>
      <w:r>
        <w:t xml:space="preserve">shows that a high right-sizing percentile should not be treated as a</w:t>
      </w:r>
      <w:r>
        <w:t xml:space="preserve"> </w:t>
      </w:r>
      <w:r>
        <w:t xml:space="preserve">reservation sizing rule without accounting for</w:t>
      </w:r>
      <w:r>
        <w:t xml:space="preserve"> </w:t>
      </w:r>
      <m:oMath>
        <m:r>
          <m:t>γ</m:t>
        </m:r>
      </m:oMath>
      <w:r>
        <w:t xml:space="preserve">.</w:t>
      </w:r>
    </w:p>
    <w:bookmarkEnd w:id="45"/>
    <w:bookmarkStart w:id="46" w:name="what-should-not-be-oversold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What Should Not Be Oversold</w:t>
      </w:r>
    </w:p>
    <w:p>
      <w:pPr>
        <w:pStyle w:val="FirstParagraph"/>
      </w:pPr>
      <w:r>
        <w:t xml:space="preserve">The deployed system does not implement the full dynamic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policy of</w:t>
      </w:r>
      <w:r>
        <w:t xml:space="preserve"> </w:t>
      </w:r>
      <w:r>
        <w:t xml:space="preserve">Chen et al. </w:t>
      </w:r>
      <w:r>
        <w:t xml:space="preserve">(Chen et al. 2024)</w:t>
      </w:r>
      <w:r>
        <w:t xml:space="preserve">; it implements static high-percentile</w:t>
      </w:r>
      <w:r>
        <w:t xml:space="preserve"> </w:t>
      </w:r>
      <w:r>
        <w:t xml:space="preserve">right-sizing and always-on reserved-pricing checks. The LLM advisor is not</w:t>
      </w:r>
      <w:r>
        <w:t xml:space="preserve"> </w:t>
      </w:r>
      <w:r>
        <w:t xml:space="preserve">evaluated for savings. The external baselines are internal mathematical and</w:t>
      </w:r>
      <w:r>
        <w:t xml:space="preserve"> </w:t>
      </w:r>
      <w:r>
        <w:t xml:space="preserve">replay baselines, not direct runs of commercial recommenders. Therefore, the</w:t>
      </w:r>
      <w:r>
        <w:t xml:space="preserve"> </w:t>
      </w:r>
      <w:r>
        <w:t xml:space="preserve">paper should not claim commercial superiority. The synthetic EC2</w:t>
      </w:r>
      <w:r>
        <w:t xml:space="preserve"> </w:t>
      </w:r>
      <m:oMath>
        <m:sSub>
          <m:e>
            <m:r>
              <m:t>q</m:t>
            </m:r>
          </m:e>
          <m:sub>
            <m:r>
              <m:t>0.95</m:t>
            </m:r>
          </m:sub>
        </m:sSub>
        <m:r>
          <m:rPr>
            <m:sty m:val="p"/>
          </m:rPr>
          <m:t>×</m:t>
        </m:r>
        <m:r>
          <m:t>1.3</m:t>
        </m:r>
      </m:oMath>
      <w:r>
        <w:t xml:space="preserve"> </w:t>
      </w:r>
      <w:r>
        <w:t xml:space="preserve">infeasibility under the committed demo catalog also means</w:t>
      </w:r>
      <w:r>
        <w:t xml:space="preserve"> </w:t>
      </w:r>
      <w:r>
        <w:t xml:space="preserve">the paper should not present that original EC2 result as a successful</w:t>
      </w:r>
      <w:r>
        <w:t xml:space="preserve"> </w:t>
      </w:r>
      <w:r>
        <w:t xml:space="preserve">full-fleet EC2 right-sizing solve. The snapshot-catalog rerun supports the</w:t>
      </w:r>
      <w:r>
        <w:t xml:space="preserve"> </w:t>
      </w:r>
      <w:r>
        <w:t xml:space="preserve">catalog-coverage interpretation, but it is not a commercial-tool or all-SKU</w:t>
      </w:r>
      <w:r>
        <w:t xml:space="preserve"> </w:t>
      </w:r>
      <w:r>
        <w:t xml:space="preserve">AWS comparison.</w:t>
      </w:r>
    </w:p>
    <w:bookmarkEnd w:id="46"/>
    <w:bookmarkStart w:id="47" w:name="artifact-scope-and-remaining-extensions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Artifact Scope and Remaining Extensions</w:t>
      </w:r>
    </w:p>
    <w:p>
      <w:pPr>
        <w:pStyle w:val="FirstParagraph"/>
      </w:pPr>
      <w:r>
        <w:t xml:space="preserve">The minimum synthetic-account baselines, ablations, service decomposition,</w:t>
      </w:r>
      <w:r>
        <w:t xml:space="preserve"> </w:t>
      </w:r>
      <w:r>
        <w:t xml:space="preserve">and runtime measurements are now generated in</w:t>
      </w:r>
      <w:r>
        <w:t xml:space="preserve"> </w:t>
      </w:r>
      <w:r>
        <w:t xml:space="preserve">Tables </w:t>
      </w:r>
      <w:hyperlink w:anchor="tab:baselines">
        <w:r>
          <w:rPr>
            <w:rStyle w:val="Hyperlink"/>
          </w:rPr>
          <w:t xml:space="preserve">[tab:baselines]</w:t>
        </w:r>
      </w:hyperlink>
      <w:r>
        <w:t xml:space="preserve">–</w:t>
      </w:r>
      <w:hyperlink w:anchor="tab:runtime">
        <w:r>
          <w:rPr>
            <w:rStyle w:val="Hyperlink"/>
          </w:rPr>
          <w:t xml:space="preserve">[tab:runtime]</w:t>
        </w:r>
      </w:hyperlink>
      <w:r>
        <w:t xml:space="preserve">. The catalog comparison in</w:t>
      </w:r>
      <w:r>
        <w:t xml:space="preserve"> </w:t>
      </w:r>
      <w:r>
        <w:t xml:space="preserve">Table </w:t>
      </w:r>
      <w:hyperlink w:anchor="tab:catalog-comparison">
        <w:r>
          <w:rPr>
            <w:rStyle w:val="Hyperlink"/>
          </w:rPr>
          <w:t xml:space="preserve">[tab:catalog-comparison]</w:t>
        </w:r>
      </w:hyperlink>
      <w:r>
        <w:t xml:space="preserve"> </w:t>
      </w:r>
      <w:r>
        <w:t xml:space="preserve">also reduces the</w:t>
      </w:r>
      <w:r>
        <w:t xml:space="preserve"> </w:t>
      </w:r>
      <w:r>
        <w:t xml:space="preserve">synthetic EC2 feasibility risk by showing that non-budget infeasibility</w:t>
      </w:r>
      <w:r>
        <w:t xml:space="preserve"> </w:t>
      </w:r>
      <w:r>
        <w:t xml:space="preserve">disappears under the shared-basis snapshot EC2 candidate set. The</w:t>
      </w:r>
      <w:r>
        <w:t xml:space="preserve"> </w:t>
      </w:r>
      <w:r>
        <w:t xml:space="preserve">paper-side usage-hour RI replay surrogate in Table </w:t>
      </w:r>
      <w:hyperlink w:anchor="tab:commercial-like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partially</w:t>
      </w:r>
      <w:r>
        <w:t xml:space="preserve"> </w:t>
      </w:r>
      <w:r>
        <w:t xml:space="preserve">addresses the missing-baseline risk but does not replace a direct commercial</w:t>
      </w:r>
      <w:r>
        <w:t xml:space="preserve"> </w:t>
      </w:r>
      <w:r>
        <w:t xml:space="preserve">tool comparison. The restored GWA Study II rerun adds checksums, bootstrap</w:t>
      </w:r>
      <w:r>
        <w:t xml:space="preserve"> </w:t>
      </w:r>
      <w:r>
        <w:t xml:space="preserve">intervals, and a baseline grid for Bitbrains and Materna; remaining extensions</w:t>
      </w:r>
      <w:r>
        <w:t xml:space="preserve"> </w:t>
      </w:r>
      <w:r>
        <w:t xml:space="preserve">include direct commercial baselines, Azure raw-vmtable restoration with timing</w:t>
      </w:r>
      <w:r>
        <w:t xml:space="preserve"> </w:t>
      </w:r>
      <w:r>
        <w:t xml:space="preserve">and intervals, SLO/performance-risk validation, all-SKU/region catalog</w:t>
      </w:r>
      <w:r>
        <w:t xml:space="preserve"> </w:t>
      </w:r>
      <w:r>
        <w:t xml:space="preserve">sensitivity, and a full dynamic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reservation implementation.</w:t>
      </w:r>
    </w:p>
    <w:bookmarkEnd w:id="47"/>
    <w:bookmarkEnd w:id="48"/>
    <w:bookmarkStart w:id="49" w:name="threats-to-validity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Threats to Validity</w:t>
      </w:r>
    </w:p>
    <w:p>
      <w:pPr>
        <w:pStyle w:val="FirstParagraph"/>
      </w:pPr>
      <w:r>
        <w:rPr>
          <w:b/>
          <w:bCs/>
        </w:rPr>
        <w:t xml:space="preserve">Synthetic data and demo pricing.</w:t>
      </w:r>
      <w:r>
        <w:t xml:space="preserve"> </w:t>
      </w:r>
      <w:r>
        <w:t xml:space="preserve">Study I uses the repository’s</w:t>
      </w:r>
      <w:r>
        <w:t xml:space="preserve"> </w:t>
      </w:r>
      <w:r>
        <w:t xml:space="preserve">synthetic AWS account. Its dollar savings are method-illustrative and should</w:t>
      </w:r>
      <w:r>
        <w:t xml:space="preserve"> </w:t>
      </w:r>
      <w:r>
        <w:t xml:space="preserve">not be presented as production savings. The committed demo EC2 candidate price</w:t>
      </w:r>
      <w:r>
        <w:t xml:space="preserve"> </w:t>
      </w:r>
      <w:r>
        <w:t xml:space="preserve">table contains incorrect or incomplete rows, so the paper separates original</w:t>
      </w:r>
      <w:r>
        <w:t xml:space="preserve"> </w:t>
      </w:r>
      <w:r>
        <w:t xml:space="preserve">demo-price diagnostics from snapshot-repriced EC2 results. The aggregate</w:t>
      </w:r>
      <w:r>
        <w:t xml:space="preserve"> </w:t>
      </w:r>
      <w:r>
        <w:t xml:space="preserve">Study I compute reduction is dominated by RDS, which remains demo-priced; it</w:t>
      </w:r>
      <w:r>
        <w:t xml:space="preserve"> </w:t>
      </w:r>
      <w:r>
        <w:t xml:space="preserve">should not be used as a production-dollar or cross-service superiority claim.</w:t>
      </w:r>
    </w:p>
    <w:p>
      <w:pPr>
        <w:pStyle w:val="BodyText"/>
      </w:pPr>
      <w:r>
        <w:rPr>
          <w:b/>
          <w:bCs/>
        </w:rPr>
        <w:t xml:space="preserve">Trace age and mapping.</w:t>
      </w:r>
      <w:r>
        <w:t xml:space="preserve"> </w:t>
      </w:r>
      <w:r>
        <w:t xml:space="preserve">Bitbrains and Materna are older managed-hosting</w:t>
      </w:r>
      <w:r>
        <w:t xml:space="preserve"> </w:t>
      </w:r>
      <w:r>
        <w:t xml:space="preserve">traces, and their VMs are priced using a 2026 AWS catalog. The GWA inputs were</w:t>
      </w:r>
      <w:r>
        <w:t xml:space="preserve"> </w:t>
      </w:r>
      <w:r>
        <w:t xml:space="preserve">restored with checksums for this rerun, but percentages are useful for method</w:t>
      </w:r>
      <w:r>
        <w:t xml:space="preserve"> </w:t>
      </w:r>
      <w:r>
        <w:t xml:space="preserve">comparison under the mapping, not as absolute production-dollar evidence.</w:t>
      </w:r>
    </w:p>
    <w:p>
      <w:pPr>
        <w:pStyle w:val="BodyText"/>
      </w:pPr>
      <w:r>
        <w:rPr>
          <w:b/>
          <w:bCs/>
        </w:rPr>
        <w:t xml:space="preserve">Metric semantics.</w:t>
      </w:r>
      <w:r>
        <w:t xml:space="preserve"> </w:t>
      </w:r>
      <w:r>
        <w:t xml:space="preserve">The Azure result shows that the meaning of a</w:t>
      </w:r>
      <w:r>
        <w:t xml:space="preserve"> </w:t>
      </w:r>
      <w:r>
        <w:t xml:space="preserve">published percentile matters. Max-based percentiles and unavailable memory</w:t>
      </w:r>
      <w:r>
        <w:t xml:space="preserve"> </w:t>
      </w:r>
      <w:r>
        <w:t xml:space="preserve">usage can reverse the right-sizing result.</w:t>
      </w:r>
    </w:p>
    <w:p>
      <w:pPr>
        <w:pStyle w:val="BodyText"/>
      </w:pPr>
      <w:r>
        <w:rPr>
          <w:b/>
          <w:bCs/>
        </w:rPr>
        <w:t xml:space="preserve">Candidate catalog completeness.</w:t>
      </w:r>
      <w:r>
        <w:t xml:space="preserve"> </w:t>
      </w:r>
      <w:r>
        <w:t xml:space="preserve">The committed synthetic DB contains</w:t>
      </w:r>
      <w:r>
        <w:t xml:space="preserve"> </w:t>
      </w:r>
      <w:r>
        <w:t xml:space="preserve">more EC2 price rows than solver-valid EC2 hardware rows. Consequently, high</w:t>
      </w:r>
      <w:r>
        <w:t xml:space="preserve"> </w:t>
      </w:r>
      <w:r>
        <w:t xml:space="preserve">percentile and high-headroom EC2 ablations can be infeasible because the</w:t>
      </w:r>
      <w:r>
        <w:t xml:space="preserve"> </w:t>
      </w:r>
      <w:r>
        <w:t xml:space="preserve">reduced candidate set cannot satisfy the induced CPU/memory requirements. This</w:t>
      </w:r>
      <w:r>
        <w:t xml:space="preserve"> </w:t>
      </w:r>
      <w:r>
        <w:t xml:space="preserve">limits synthetic-account conclusions about EC2 right-sizing. The paper-local</w:t>
      </w:r>
      <w:r>
        <w:t xml:space="preserve"> </w:t>
      </w:r>
      <w:r>
        <w:t xml:space="preserve">catalog comparison reruns the synthetic ablations with a richer 28-type,</w:t>
      </w:r>
      <w:r>
        <w:t xml:space="preserve"> </w:t>
      </w:r>
      <w:r>
        <w:t xml:space="preserve">snapshot-dated EC2 candidate set and a shared EC2 current/candidate price</w:t>
      </w:r>
      <w:r>
        <w:t xml:space="preserve"> </w:t>
      </w:r>
      <w:r>
        <w:t xml:space="preserve">basis, and keeps infeasible rows visible. That rerun removes non-budget EC2</w:t>
      </w:r>
      <w:r>
        <w:t xml:space="preserve"> </w:t>
      </w:r>
      <w:r>
        <w:t xml:space="preserve">infeasibility, but it is still not an all-SKU AWS catalog study and does not</w:t>
      </w:r>
      <w:r>
        <w:t xml:space="preserve"> </w:t>
      </w:r>
      <w:r>
        <w:t xml:space="preserve">replace a direct commercial recommender baseline.</w:t>
      </w:r>
    </w:p>
    <w:p>
      <w:pPr>
        <w:pStyle w:val="BodyText"/>
      </w:pPr>
      <w:r>
        <w:rPr>
          <w:b/>
          <w:bCs/>
        </w:rPr>
        <w:t xml:space="preserve">Policy abstraction.</w:t>
      </w:r>
      <w:r>
        <w:t xml:space="preserve"> </w:t>
      </w:r>
      <w:r>
        <w:t xml:space="preserve">Study III uses aggregate demand and simplified</w:t>
      </w:r>
      <w:r>
        <w:t xml:space="preserve"> </w:t>
      </w:r>
      <w:r>
        <w:t xml:space="preserve">reservation costs. It does not model all real contract terms, partial upfront</w:t>
      </w:r>
      <w:r>
        <w:t xml:space="preserve"> </w:t>
      </w:r>
      <w:r>
        <w:t xml:space="preserve">payments, cancellation, resale, instance families, or capacity fragmentation.</w:t>
      </w:r>
    </w:p>
    <w:p>
      <w:pPr>
        <w:pStyle w:val="BodyText"/>
      </w:pPr>
      <w:r>
        <w:rPr>
          <w:b/>
          <w:bCs/>
        </w:rPr>
        <w:t xml:space="preserve">Baselines.</w:t>
      </w:r>
      <w:r>
        <w:t xml:space="preserve"> </w:t>
      </w:r>
      <w:r>
        <w:t xml:space="preserve">The SAA baseline is a correctness/replay baseline and</w:t>
      </w:r>
      <w:r>
        <w:t xml:space="preserve"> </w:t>
      </w:r>
      <w:r>
        <w:t xml:space="preserve">closely matches newsvendor theory by construction. The usage-hour reservation</w:t>
      </w:r>
      <w:r>
        <w:t xml:space="preserve"> </w:t>
      </w:r>
      <w:r>
        <w:t xml:space="preserve">replay and Study III look-back replay rows are paper-side replay surrogates</w:t>
      </w:r>
      <w:r>
        <w:t xml:space="preserve"> </w:t>
      </w:r>
      <w:r>
        <w:t xml:space="preserve">only. The paper currently lacks a direct commercial-tool comparison.</w:t>
      </w:r>
    </w:p>
    <w:p>
      <w:pPr>
        <w:pStyle w:val="BodyText"/>
      </w:pPr>
      <w:r>
        <w:rPr>
          <w:b/>
          <w:bCs/>
        </w:rPr>
        <w:t xml:space="preserve">Statistical power.</w:t>
      </w:r>
      <w:r>
        <w:t xml:space="preserve"> </w:t>
      </w:r>
      <w:r>
        <w:t xml:space="preserve">Forecasting tests use limited walk-forward folds.</w:t>
      </w:r>
      <w:r>
        <w:t xml:space="preserve"> </w:t>
      </w:r>
      <w:r>
        <w:t xml:space="preserve">The reported non-significant differences should remain non-claims rather than</w:t>
      </w:r>
      <w:r>
        <w:t xml:space="preserve"> </w:t>
      </w:r>
      <w:r>
        <w:t xml:space="preserve">being reframed as superiority.</w:t>
      </w:r>
    </w:p>
    <w:bookmarkEnd w:id="49"/>
    <w:bookmarkStart w:id="50" w:name="conclusion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Conclusion</w:t>
      </w:r>
    </w:p>
    <w:p>
      <w:pPr>
        <w:pStyle w:val="FirstParagraph"/>
      </w:pPr>
      <w:r>
        <w:t xml:space="preserve">This paper is best framed as an empirical theory-practice bridge, not as a</w:t>
      </w:r>
      <w:r>
        <w:t xml:space="preserve"> </w:t>
      </w:r>
      <w:r>
        <w:t xml:space="preserve">product demonstration. Smart Cloud Optimizer operationalizes a FinOps-style</w:t>
      </w:r>
      <w:r>
        <w:t xml:space="preserve"> </w:t>
      </w:r>
      <w:r>
        <w:t xml:space="preserve">pipeline with forecasting,</w:t>
      </w:r>
      <w:r>
        <w:t xml:space="preserve"> </w:t>
      </w:r>
      <m:oMath>
        <m:sSub>
          <m:e>
            <m:r>
              <m:t>q</m:t>
            </m:r>
          </m:e>
          <m:sub>
            <m:r>
              <m:t>0.95</m:t>
            </m:r>
          </m:sub>
        </m:sSub>
        <m:r>
          <m:rPr>
            <m:sty m:val="p"/>
          </m:rPr>
          <m:t>×</m:t>
        </m:r>
        <m:r>
          <m:t>1.3</m:t>
        </m:r>
      </m:oMath>
      <w:r>
        <w:t xml:space="preserve"> </w:t>
      </w:r>
      <w:r>
        <w:t xml:space="preserve">MILP right-sizing, reserved</w:t>
      </w:r>
      <w:r>
        <w:t xml:space="preserve"> </w:t>
      </w:r>
      <w:r>
        <w:t xml:space="preserve">pricing checks, and service-specific waste rules. On the repository’s</w:t>
      </w:r>
      <w:r>
        <w:t xml:space="preserve"> </w:t>
      </w:r>
      <w:r>
        <w:t xml:space="preserve">synthetic account, the paper no longer treats the stale stored recommendation</w:t>
      </w:r>
      <w:r>
        <w:t xml:space="preserve"> </w:t>
      </w:r>
      <w:r>
        <w:t xml:space="preserve">table as a headline savings source; after EC2 snapshot repricing, the</w:t>
      </w:r>
      <w:r>
        <w:t xml:space="preserve"> </w:t>
      </w:r>
      <m:oMath>
        <m:sSub>
          <m:e>
            <m:r>
              <m:t>q</m:t>
            </m:r>
          </m:e>
          <m:sub>
            <m:r>
              <m:t>0.95</m:t>
            </m:r>
          </m:sub>
        </m:sSub>
        <m:r>
          <m:rPr>
            <m:sty m:val="p"/>
          </m:rPr>
          <m:t>×</m:t>
        </m:r>
        <m:r>
          <m:t>1.3</m:t>
        </m:r>
      </m:oMath>
      <w:r>
        <w:t xml:space="preserve"> </w:t>
      </w:r>
      <w:r>
        <w:t xml:space="preserve">row is feasible but service-mixed: EC2 cost increases by</w:t>
      </w:r>
      <w:r>
        <w:t xml:space="preserve"> </w:t>
      </w:r>
      <w:r>
        <w:t xml:space="preserve">15.0%, while demo-priced RDS cost decreases by</w:t>
      </w:r>
      <w:r>
        <w:t xml:space="preserve"> </w:t>
      </w:r>
      <w:r>
        <w:t xml:space="preserve">91.2%, producing an aggregate compute-scope reduction of</w:t>
      </w:r>
      <w:r>
        <w:t xml:space="preserve"> </w:t>
      </w:r>
      <w:r>
        <w:t xml:space="preserve">19.0%. The aggregate should therefore be interpreted as a</w:t>
      </w:r>
      <w:r>
        <w:t xml:space="preserve"> </w:t>
      </w:r>
      <w:r>
        <w:t xml:space="preserve">boundary-condition result about conservative headroom and service mix, not as</w:t>
      </w:r>
      <w:r>
        <w:t xml:space="preserve"> </w:t>
      </w:r>
      <w:r>
        <w:t xml:space="preserve">an unqualified optimizer win. The paper-side reservation replay</w:t>
      </w:r>
      <w:r>
        <w:t xml:space="preserve"> </w:t>
      </w:r>
      <w:r>
        <w:t xml:space="preserve">surrogate saves $209.15/mo on eligible EC2 on-demand</w:t>
      </w:r>
      <w:r>
        <w:t xml:space="preserve"> </w:t>
      </w:r>
      <w:r>
        <w:t xml:space="preserve">spend in a collapsed 7/30/60-day synthetic sanity check. On restored public</w:t>
      </w:r>
      <w:r>
        <w:t xml:space="preserve"> </w:t>
      </w:r>
      <w:r>
        <w:t xml:space="preserve">Bitbrains and Materna VM traces, the same MILP right-sizing rule saves</w:t>
      </w:r>
      <w:r>
        <w:t xml:space="preserve"> </w:t>
      </w:r>
      <w:r>
        <w:t xml:space="preserve">41.8% in aggregate against a lift-and-shift baseline</w:t>
      </w:r>
      <w:r>
        <w:t xml:space="preserve"> </w:t>
      </w:r>
      <w:r>
        <w:t xml:space="preserve">(95% CI 35.9–47.5%), while the</w:t>
      </w:r>
      <w:r>
        <w:t xml:space="preserve"> </w:t>
      </w:r>
      <w:r>
        <w:t xml:space="preserve">Azure boundary case, whose raw input was not restored, shows that metric</w:t>
      </w:r>
      <w:r>
        <w:t xml:space="preserve"> </w:t>
      </w:r>
      <w:r>
        <w:t xml:space="preserve">semantics can make the heuristic fail. The policy simulation then isolates the</w:t>
      </w:r>
      <w:r>
        <w:t xml:space="preserve"> </w:t>
      </w:r>
      <w:r>
        <w:t xml:space="preserve">central research</w:t>
      </w:r>
      <w:r>
        <w:t xml:space="preserve"> </w:t>
      </w:r>
      <w:r>
        <w:t xml:space="preserve">insight: under intermittent demand surges, conservative P95-based</w:t>
      </w:r>
      <w:r>
        <w:t xml:space="preserve"> </w:t>
      </w:r>
      <w:r>
        <w:t xml:space="preserve">right-sizing and price-aware capacity-reservation theory can diverge sharply.</w:t>
      </w:r>
      <w:r>
        <w:t xml:space="preserve"> </w:t>
      </w:r>
      <w:r>
        <w:t xml:space="preserve">At the observed reserved/on-demand ratio, using the high-percentile capacity</w:t>
      </w:r>
      <w:r>
        <w:t xml:space="preserve"> </w:t>
      </w:r>
      <w:r>
        <w:t xml:space="preserve">rule as a reservation-sizing rule forfeits the discount, whereas the</w:t>
      </w:r>
      <w:r>
        <w:t xml:space="preserve"> </w:t>
      </w:r>
      <w:r>
        <w:t xml:space="preserve">newsvendor and look-back replay policies retain much more of it. Remaining</w:t>
      </w:r>
      <w:r>
        <w:t xml:space="preserve"> </w:t>
      </w:r>
      <w:r>
        <w:t xml:space="preserve">extensions include direct commercial baselines, Azure raw-vmtable restoration</w:t>
      </w:r>
      <w:r>
        <w:t xml:space="preserve"> </w:t>
      </w:r>
      <w:r>
        <w:t xml:space="preserve">with confidence intervals and runtime measurements, broader all-SKU/region</w:t>
      </w:r>
      <w:r>
        <w:t xml:space="preserve"> </w:t>
      </w:r>
      <w:r>
        <w:t xml:space="preserve">catalog sensitivity, SLO validation, and live or modern production data.</w:t>
      </w:r>
    </w:p>
    <w:bookmarkEnd w:id="50"/>
    <w:bookmarkStart w:id="57" w:name="author-contact-information"/>
    <w:p>
      <w:pPr>
        <w:pStyle w:val="Heading1"/>
      </w:pPr>
      <w:r>
        <w:t xml:space="preserve">Author Contact Information</w:t>
      </w:r>
    </w:p>
    <w:p>
      <w:pPr>
        <w:pStyle w:val="FirstParagraph"/>
      </w:pPr>
      <w:r>
        <w:rPr>
          <w:b/>
          <w:bCs/>
        </w:rPr>
        <w:t xml:space="preserve">Corresponding author:</w:t>
      </w:r>
      <w:r>
        <w:t xml:space="preserve"> </w:t>
      </w:r>
      <w:r>
        <w:t xml:space="preserve">Ibrahim Mohamed:</w:t>
      </w:r>
      <w:r>
        <w:t xml:space="preserve"> </w:t>
      </w:r>
      <w:hyperlink r:id="rId51">
        <w:r>
          <w:rPr>
            <w:rStyle w:val="VerbatimChar"/>
          </w:rPr>
          <w:t xml:space="preserve">ibrahimmohamedabdelsadek@gmail.com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Author emails:</w:t>
      </w:r>
      <w:r>
        <w:t xml:space="preserve"> </w:t>
      </w:r>
      <w:r>
        <w:t xml:space="preserve">Mariam Emad:</w:t>
      </w:r>
      <w:r>
        <w:t xml:space="preserve"> </w:t>
      </w:r>
      <w:hyperlink r:id="rId52">
        <w:r>
          <w:rPr>
            <w:rStyle w:val="VerbatimChar"/>
          </w:rPr>
          <w:t xml:space="preserve">mariamemadcs@gmail.com</w:t>
        </w:r>
      </w:hyperlink>
      <w:r>
        <w:t xml:space="preserve">; Hazem Ibrahim:</w:t>
      </w:r>
      <w:r>
        <w:t xml:space="preserve"> </w:t>
      </w:r>
      <w:hyperlink r:id="rId53">
        <w:r>
          <w:rPr>
            <w:rStyle w:val="VerbatimChar"/>
          </w:rPr>
          <w:t xml:space="preserve">Ihazem28@gmail.com</w:t>
        </w:r>
      </w:hyperlink>
      <w:r>
        <w:t xml:space="preserve">; Ahmed Sameh:</w:t>
      </w:r>
      <w:r>
        <w:t xml:space="preserve"> </w:t>
      </w:r>
      <w:hyperlink r:id="rId54">
        <w:r>
          <w:rPr>
            <w:rStyle w:val="VerbatimChar"/>
          </w:rPr>
          <w:t xml:space="preserve">ahmed.sameh.12543@gmail.com</w:t>
        </w:r>
      </w:hyperlink>
      <w:r>
        <w:t xml:space="preserve">; Mahmoud Ahmed:</w:t>
      </w:r>
      <w:r>
        <w:t xml:space="preserve"> </w:t>
      </w:r>
      <w:hyperlink r:id="rId55">
        <w:r>
          <w:rPr>
            <w:rStyle w:val="VerbatimChar"/>
          </w:rPr>
          <w:t xml:space="preserve">mahmoudkamel9102003@gmail.com</w:t>
        </w:r>
      </w:hyperlink>
      <w:r>
        <w:t xml:space="preserve">; John Ehab:</w:t>
      </w:r>
      <w:r>
        <w:t xml:space="preserve"> </w:t>
      </w:r>
      <w:hyperlink r:id="rId56">
        <w:r>
          <w:rPr>
            <w:rStyle w:val="VerbatimChar"/>
          </w:rPr>
          <w:t xml:space="preserve">ehabjohn22@gmail.com</w:t>
        </w:r>
      </w:hyperlink>
      <w:r>
        <w:t xml:space="preserve">.</w:t>
      </w:r>
    </w:p>
    <w:bookmarkEnd w:id="57"/>
    <w:bookmarkStart w:id="105" w:name="bibliography"/>
    <w:p>
      <w:pPr>
        <w:pStyle w:val="Heading1"/>
      </w:pPr>
      <w:r>
        <w:t xml:space="preserve">References</w:t>
      </w:r>
    </w:p>
    <w:bookmarkStart w:id="104" w:name="refs"/>
    <w:bookmarkStart w:id="59" w:name="ref-agullo2025forecasting"/>
    <w:p>
      <w:pPr>
        <w:pStyle w:val="Bibliography"/>
      </w:pPr>
      <w:r>
        <w:t xml:space="preserve">Agulló, Ferran, Alberto Gutierrez-Torre, Jordi Torres, and Josep Ll. Berral. 2025.</w:t>
      </w:r>
      <w:r>
        <w:t xml:space="preserve"> </w:t>
      </w:r>
      <w:r>
        <w:t xml:space="preserve">“Enhancing the Output of Time Series Forecasting Algorithms for Cloud Resource Provisioning.”</w:t>
      </w:r>
      <w:r>
        <w:t xml:space="preserve"> </w:t>
      </w:r>
      <w:r>
        <w:rPr>
          <w:i/>
          <w:iCs/>
        </w:rPr>
        <w:t xml:space="preserve">Future Generation Computer Systems</w:t>
      </w:r>
      <w:r>
        <w:t xml:space="preserve"> </w:t>
      </w:r>
      <w:r>
        <w:t xml:space="preserve">170: 107833.</w:t>
      </w:r>
      <w:r>
        <w:t xml:space="preserve"> </w:t>
      </w:r>
      <w:hyperlink r:id="rId58">
        <w:r>
          <w:rPr>
            <w:rStyle w:val="Hyperlink"/>
          </w:rPr>
          <w:t xml:space="preserve">https://doi.org/10.1016/j.future.2025.107833</w:t>
        </w:r>
      </w:hyperlink>
      <w:r>
        <w:t xml:space="preserve">.</w:t>
      </w:r>
    </w:p>
    <w:bookmarkEnd w:id="59"/>
    <w:bookmarkStart w:id="61" w:name="ref-alves2025iaas"/>
    <w:p>
      <w:pPr>
        <w:pStyle w:val="Bibliography"/>
      </w:pPr>
      <w:r>
        <w:t xml:space="preserve">Alves, Moab, and Fabio Morais. 2025.</w:t>
      </w:r>
      <w:r>
        <w:t xml:space="preserve"> </w:t>
      </w:r>
      <w:r>
        <w:t xml:space="preserve">“</w:t>
      </w:r>
      <w:r>
        <w:t xml:space="preserve">IaaS</w:t>
      </w:r>
      <w:r>
        <w:t xml:space="preserve"> </w:t>
      </w:r>
      <w:r>
        <w:t xml:space="preserve">Capacity Planning with Multiple Pricing Models Using Predictive Heuristics.”</w:t>
      </w:r>
      <w:r>
        <w:t xml:space="preserve"> </w:t>
      </w:r>
      <w:r>
        <w:rPr>
          <w:i/>
          <w:iCs/>
        </w:rPr>
        <w:t xml:space="preserve">2025 IEEE International Conference on Cloud Computing Technology and Science (CloudCom)</w:t>
      </w:r>
      <w:r>
        <w:t xml:space="preserve"> </w:t>
      </w:r>
      <w:r>
        <w:t xml:space="preserve">(Shenzhen, China), 1–8.</w:t>
      </w:r>
      <w:r>
        <w:t xml:space="preserve"> </w:t>
      </w:r>
      <w:hyperlink r:id="rId60">
        <w:r>
          <w:rPr>
            <w:rStyle w:val="Hyperlink"/>
          </w:rPr>
          <w:t xml:space="preserve">https://doi.org/10.1109/CloudCom67567.2025.11331429</w:t>
        </w:r>
      </w:hyperlink>
      <w:r>
        <w:t xml:space="preserve">.</w:t>
      </w:r>
    </w:p>
    <w:bookmarkEnd w:id="61"/>
    <w:bookmarkStart w:id="63" w:name="ref-arrow1951inventory"/>
    <w:p>
      <w:pPr>
        <w:pStyle w:val="Bibliography"/>
      </w:pPr>
      <w:r>
        <w:t xml:space="preserve">Arrow, Kenneth J., Theodore Harris, and Jacob Marschak. 1951.</w:t>
      </w:r>
      <w:r>
        <w:t xml:space="preserve"> </w:t>
      </w:r>
      <w:r>
        <w:t xml:space="preserve">“Optimal Inventory Policy.”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 </w:t>
      </w:r>
      <w:r>
        <w:t xml:space="preserve">19 (3): 250–72.</w:t>
      </w:r>
      <w:r>
        <w:t xml:space="preserve"> </w:t>
      </w:r>
      <w:hyperlink r:id="rId62">
        <w:r>
          <w:rPr>
            <w:rStyle w:val="Hyperlink"/>
          </w:rPr>
          <w:t xml:space="preserve">https://doi.org/10.2307/1906813</w:t>
        </w:r>
      </w:hyperlink>
      <w:r>
        <w:t xml:space="preserve">.</w:t>
      </w:r>
    </w:p>
    <w:bookmarkEnd w:id="63"/>
    <w:bookmarkStart w:id="65" w:name="ref-aydin2020binpacking"/>
    <w:p>
      <w:pPr>
        <w:pStyle w:val="Bibliography"/>
      </w:pPr>
      <w:r>
        <w:t xml:space="preserve">Aydın, Nurşen, İbrahim Muter, and Ş. İlker Birbil. 2020.</w:t>
      </w:r>
      <w:r>
        <w:t xml:space="preserve"> </w:t>
      </w:r>
      <w:r>
        <w:t xml:space="preserve">“Multi-Objective Temporal Bin Packing Problem: An Application in Cloud Computing.”</w:t>
      </w:r>
      <w:r>
        <w:t xml:space="preserve"> </w:t>
      </w:r>
      <w:r>
        <w:rPr>
          <w:i/>
          <w:iCs/>
        </w:rPr>
        <w:t xml:space="preserve">Computers &amp; Operations Research</w:t>
      </w:r>
      <w:r>
        <w:t xml:space="preserve"> </w:t>
      </w:r>
      <w:r>
        <w:t xml:space="preserve">121: 104959.</w:t>
      </w:r>
      <w:r>
        <w:t xml:space="preserve"> </w:t>
      </w:r>
      <w:hyperlink r:id="rId64">
        <w:r>
          <w:rPr>
            <w:rStyle w:val="Hyperlink"/>
          </w:rPr>
          <w:t xml:space="preserve">https://doi.org/10.1016/j.cor.2020.104959</w:t>
        </w:r>
      </w:hyperlink>
      <w:r>
        <w:t xml:space="preserve">.</w:t>
      </w:r>
    </w:p>
    <w:bookmarkEnd w:id="65"/>
    <w:bookmarkStart w:id="67" w:name="ref-ban2019newsvendor"/>
    <w:p>
      <w:pPr>
        <w:pStyle w:val="Bibliography"/>
      </w:pPr>
      <w:r>
        <w:t xml:space="preserve">Ban, Gah-Yi, and Cynthia Rudin. 2019.</w:t>
      </w:r>
      <w:r>
        <w:t xml:space="preserve"> </w:t>
      </w:r>
      <w:r>
        <w:t xml:space="preserve">“The Big Data Newsvendor: Practical Insights from Machine Learning.”</w:t>
      </w:r>
      <w:r>
        <w:t xml:space="preserve"> </w:t>
      </w:r>
      <w:r>
        <w:rPr>
          <w:i/>
          <w:iCs/>
        </w:rPr>
        <w:t xml:space="preserve">Operations Research</w:t>
      </w:r>
      <w:r>
        <w:t xml:space="preserve"> </w:t>
      </w:r>
      <w:r>
        <w:t xml:space="preserve">67 (1): 90–108.</w:t>
      </w:r>
      <w:r>
        <w:t xml:space="preserve"> </w:t>
      </w:r>
      <w:hyperlink r:id="rId66">
        <w:r>
          <w:rPr>
            <w:rStyle w:val="Hyperlink"/>
          </w:rPr>
          <w:t xml:space="preserve">https://doi.org/10.1287/opre.2018.1757</w:t>
        </w:r>
      </w:hyperlink>
      <w:r>
        <w:t xml:space="preserve">.</w:t>
      </w:r>
    </w:p>
    <w:bookmarkEnd w:id="67"/>
    <w:bookmarkStart w:id="69" w:name="ref-bulbul2021provisioning"/>
    <w:p>
      <w:pPr>
        <w:pStyle w:val="Bibliography"/>
      </w:pPr>
      <w:r>
        <w:t xml:space="preserve">Bülbül, Kerem, Nilay Noyan, and Hazal Erol. 2021.</w:t>
      </w:r>
      <w:r>
        <w:t xml:space="preserve"> </w:t>
      </w:r>
      <w:r>
        <w:t xml:space="preserve">“Multi-Stage Stochastic Programming Models for Provisioning Cloud Computing Resources.”</w:t>
      </w:r>
      <w:r>
        <w:t xml:space="preserve"> </w:t>
      </w:r>
      <w:r>
        <w:rPr>
          <w:i/>
          <w:iCs/>
        </w:rPr>
        <w:t xml:space="preserve">European Journal of Operational Research</w:t>
      </w:r>
      <w:r>
        <w:t xml:space="preserve"> </w:t>
      </w:r>
      <w:r>
        <w:t xml:space="preserve">288 (3): 886–901.</w:t>
      </w:r>
      <w:r>
        <w:t xml:space="preserve"> </w:t>
      </w:r>
      <w:hyperlink r:id="rId68">
        <w:r>
          <w:rPr>
            <w:rStyle w:val="Hyperlink"/>
          </w:rPr>
          <w:t xml:space="preserve">https://doi.org/10.1016/j.ejor.2020.06.027</w:t>
        </w:r>
      </w:hyperlink>
      <w:r>
        <w:t xml:space="preserve">.</w:t>
      </w:r>
    </w:p>
    <w:bookmarkEnd w:id="69"/>
    <w:bookmarkStart w:id="71" w:name="ref-cahoon2022doppler"/>
    <w:p>
      <w:pPr>
        <w:pStyle w:val="Bibliography"/>
      </w:pPr>
      <w:r>
        <w:t xml:space="preserve">Cahoon, Joyce, Wenjing Wang, Yiwen Zhu, et al. 2022.</w:t>
      </w:r>
      <w:r>
        <w:t xml:space="preserve"> </w:t>
      </w:r>
      <w:r>
        <w:t xml:space="preserve">“Doppler: Automated</w:t>
      </w:r>
      <w:r>
        <w:t xml:space="preserve"> </w:t>
      </w:r>
      <w:r>
        <w:t xml:space="preserve">SKU</w:t>
      </w:r>
      <w:r>
        <w:t xml:space="preserve"> </w:t>
      </w:r>
      <w:r>
        <w:t xml:space="preserve">Recommendation in Migrating</w:t>
      </w:r>
      <w:r>
        <w:t xml:space="preserve"> </w:t>
      </w:r>
      <w:r>
        <w:t xml:space="preserve">SQL</w:t>
      </w:r>
      <w:r>
        <w:t xml:space="preserve"> </w:t>
      </w:r>
      <w:r>
        <w:t xml:space="preserve">Workloads to the Cloud.”</w:t>
      </w:r>
      <w:r>
        <w:t xml:space="preserve"> </w:t>
      </w:r>
      <w:r>
        <w:rPr>
          <w:i/>
          <w:iCs/>
        </w:rPr>
        <w:t xml:space="preserve">Proceedings of the VLDB Endowment</w:t>
      </w:r>
      <w:r>
        <w:t xml:space="preserve"> </w:t>
      </w:r>
      <w:r>
        <w:t xml:space="preserve">15 (12): 3509–21.</w:t>
      </w:r>
      <w:r>
        <w:t xml:space="preserve"> </w:t>
      </w:r>
      <w:hyperlink r:id="rId70">
        <w:r>
          <w:rPr>
            <w:rStyle w:val="Hyperlink"/>
          </w:rPr>
          <w:t xml:space="preserve">https://doi.org/10.14778/3554821.3554840</w:t>
        </w:r>
      </w:hyperlink>
      <w:r>
        <w:t xml:space="preserve">.</w:t>
      </w:r>
    </w:p>
    <w:bookmarkEnd w:id="71"/>
    <w:bookmarkStart w:id="73" w:name="ref-chaisiri2012provisioning"/>
    <w:p>
      <w:pPr>
        <w:pStyle w:val="Bibliography"/>
      </w:pPr>
      <w:r>
        <w:t xml:space="preserve">Chaisiri, Sivadon, Bu-Sung Lee, and Dusit Niyato. 2012.</w:t>
      </w:r>
      <w:r>
        <w:t xml:space="preserve"> </w:t>
      </w:r>
      <w:r>
        <w:t xml:space="preserve">“Optimization of Resource Provisioning Cost in Cloud Computing.”</w:t>
      </w:r>
      <w:r>
        <w:t xml:space="preserve"> </w:t>
      </w:r>
      <w:r>
        <w:rPr>
          <w:i/>
          <w:iCs/>
        </w:rPr>
        <w:t xml:space="preserve">IEEE Transactions on Services Computing</w:t>
      </w:r>
      <w:r>
        <w:t xml:space="preserve"> </w:t>
      </w:r>
      <w:r>
        <w:t xml:space="preserve">5 (2): 164–77.</w:t>
      </w:r>
      <w:r>
        <w:t xml:space="preserve"> </w:t>
      </w:r>
      <w:hyperlink r:id="rId72">
        <w:r>
          <w:rPr>
            <w:rStyle w:val="Hyperlink"/>
          </w:rPr>
          <w:t xml:space="preserve">https://doi.org/10.1109/TSC.2011.7</w:t>
        </w:r>
      </w:hyperlink>
      <w:r>
        <w:t xml:space="preserve">.</w:t>
      </w:r>
    </w:p>
    <w:bookmarkEnd w:id="73"/>
    <w:bookmarkStart w:id="75" w:name="ref-chen2024capacity"/>
    <w:p>
      <w:pPr>
        <w:pStyle w:val="Bibliography"/>
      </w:pPr>
      <w:r>
        <w:t xml:space="preserve">Chen, Shi, Junfei Lei, and Kamran Moinzadeh. 2024.</w:t>
      </w:r>
      <w:r>
        <w:t xml:space="preserve"> </w:t>
      </w:r>
      <w:r>
        <w:t xml:space="preserve">“Cost Optimization in Cloud Computing: Capacity Reservation for Intermittent Random Demand Surges.”</w:t>
      </w:r>
      <w:r>
        <w:t xml:space="preserve"> </w:t>
      </w:r>
      <w:r>
        <w:rPr>
          <w:i/>
          <w:iCs/>
        </w:rPr>
        <w:t xml:space="preserve">Production and Operations Management</w:t>
      </w:r>
      <w:r>
        <w:t xml:space="preserve"> </w:t>
      </w:r>
      <w:r>
        <w:t xml:space="preserve">33 (6): 1265–84.</w:t>
      </w:r>
      <w:r>
        <w:t xml:space="preserve"> </w:t>
      </w:r>
      <w:hyperlink r:id="rId74">
        <w:r>
          <w:rPr>
            <w:rStyle w:val="Hyperlink"/>
          </w:rPr>
          <w:t xml:space="preserve">https://doi.org/10.1177/10591478241251614</w:t>
        </w:r>
      </w:hyperlink>
      <w:r>
        <w:t xml:space="preserve">.</w:t>
      </w:r>
    </w:p>
    <w:bookmarkEnd w:id="75"/>
    <w:bookmarkStart w:id="77" w:name="ref-cortez2017resource"/>
    <w:p>
      <w:pPr>
        <w:pStyle w:val="Bibliography"/>
      </w:pPr>
      <w:r>
        <w:t xml:space="preserve">Cortez, Eli, Anand Bonde, Alexandre Muzio, Mark Russinovich, Marcus Fontoura, and Ricardo Bianchini. 2017.</w:t>
      </w:r>
      <w:r>
        <w:t xml:space="preserve"> </w:t>
      </w:r>
      <w:r>
        <w:t xml:space="preserve">“Resource</w:t>
      </w:r>
      <w:r>
        <w:t xml:space="preserve"> </w:t>
      </w:r>
      <w:r>
        <w:t xml:space="preserve">Central</w:t>
      </w:r>
      <w:r>
        <w:t xml:space="preserve">: Understanding and Predicting Workloads for Improved Resource Management in Large Cloud Platforms.”</w:t>
      </w:r>
      <w:r>
        <w:t xml:space="preserve"> </w:t>
      </w:r>
      <w:r>
        <w:rPr>
          <w:i/>
          <w:iCs/>
        </w:rPr>
        <w:t xml:space="preserve">Proceedings of the 26th Symposium on Operating Systems Principles (SOSP)</w:t>
      </w:r>
      <w:r>
        <w:t xml:space="preserve">, 153–67.</w:t>
      </w:r>
      <w:r>
        <w:t xml:space="preserve"> </w:t>
      </w:r>
      <w:hyperlink r:id="rId76">
        <w:r>
          <w:rPr>
            <w:rStyle w:val="Hyperlink"/>
          </w:rPr>
          <w:t xml:space="preserve">https://doi.org/10.1145/3132747.3132772</w:t>
        </w:r>
      </w:hyperlink>
      <w:r>
        <w:t xml:space="preserve">.</w:t>
      </w:r>
    </w:p>
    <w:bookmarkEnd w:id="77"/>
    <w:bookmarkStart w:id="79" w:name="ref-diebold1995comparing"/>
    <w:p>
      <w:pPr>
        <w:pStyle w:val="Bibliography"/>
      </w:pPr>
      <w:r>
        <w:t xml:space="preserve">Diebold, Francis X., and Roberto S. Mariano. 1995.</w:t>
      </w:r>
      <w:r>
        <w:t xml:space="preserve"> </w:t>
      </w:r>
      <w:r>
        <w:t xml:space="preserve">“Comparing Predictive Accuracy.”</w:t>
      </w:r>
      <w:r>
        <w:t xml:space="preserve"> </w:t>
      </w:r>
      <w:r>
        <w:rPr>
          <w:i/>
          <w:iCs/>
        </w:rPr>
        <w:t xml:space="preserve">Journal of Business &amp; Economic Statistics</w:t>
      </w:r>
      <w:r>
        <w:t xml:space="preserve"> </w:t>
      </w:r>
      <w:r>
        <w:t xml:space="preserve">13 (3): 253–63.</w:t>
      </w:r>
      <w:r>
        <w:t xml:space="preserve"> </w:t>
      </w:r>
      <w:hyperlink r:id="rId78">
        <w:r>
          <w:rPr>
            <w:rStyle w:val="Hyperlink"/>
          </w:rPr>
          <w:t xml:space="preserve">https://doi.org/10.1080/07350015.1995.10524599</w:t>
        </w:r>
      </w:hyperlink>
      <w:r>
        <w:t xml:space="preserve">.</w:t>
      </w:r>
    </w:p>
    <w:bookmarkEnd w:id="79"/>
    <w:bookmarkStart w:id="81" w:name="ref-harvey1997testing"/>
    <w:p>
      <w:pPr>
        <w:pStyle w:val="Bibliography"/>
      </w:pPr>
      <w:r>
        <w:t xml:space="preserve">Harvey, David, Stephen Leybourne, and Paul Newbold. 1997.</w:t>
      </w:r>
      <w:r>
        <w:t xml:space="preserve"> </w:t>
      </w:r>
      <w:r>
        <w:t xml:space="preserve">“Testing the Equality of Prediction Mean Squared Errors.”</w:t>
      </w:r>
      <w:r>
        <w:t xml:space="preserve"> </w:t>
      </w:r>
      <w:r>
        <w:rPr>
          <w:i/>
          <w:iCs/>
        </w:rPr>
        <w:t xml:space="preserve">International Journal of Forecasting</w:t>
      </w:r>
      <w:r>
        <w:t xml:space="preserve"> </w:t>
      </w:r>
      <w:r>
        <w:t xml:space="preserve">13 (2): 281–91.</w:t>
      </w:r>
      <w:r>
        <w:t xml:space="preserve"> </w:t>
      </w:r>
      <w:hyperlink r:id="rId80">
        <w:r>
          <w:rPr>
            <w:rStyle w:val="Hyperlink"/>
          </w:rPr>
          <w:t xml:space="preserve">https://doi.org/10.1016/S0169-2070(96)00719-4</w:t>
        </w:r>
      </w:hyperlink>
      <w:r>
        <w:t xml:space="preserve">.</w:t>
      </w:r>
    </w:p>
    <w:bookmarkEnd w:id="81"/>
    <w:bookmarkStart w:id="83" w:name="ref-hyndman2008forecast"/>
    <w:p>
      <w:pPr>
        <w:pStyle w:val="Bibliography"/>
      </w:pPr>
      <w:r>
        <w:t xml:space="preserve">Hyndman, Rob J., and Yeasmin Khandakar. 2008.</w:t>
      </w:r>
      <w:r>
        <w:t xml:space="preserve"> </w:t>
      </w:r>
      <w:r>
        <w:t xml:space="preserve">“Automatic Time Series Forecasting: The Forecast Package for</w:t>
      </w:r>
      <w:r>
        <w:t xml:space="preserve"> </w:t>
      </w:r>
      <w:r>
        <w:t xml:space="preserve">R</w:t>
      </w:r>
      <w:r>
        <w:t xml:space="preserve">.”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 </w:t>
      </w:r>
      <w:r>
        <w:t xml:space="preserve">27 (3): 1–22.</w:t>
      </w:r>
      <w:r>
        <w:t xml:space="preserve"> </w:t>
      </w:r>
      <w:hyperlink r:id="rId82">
        <w:r>
          <w:rPr>
            <w:rStyle w:val="Hyperlink"/>
          </w:rPr>
          <w:t xml:space="preserve">https://doi.org/10.18637/jss.v027.i03</w:t>
        </w:r>
      </w:hyperlink>
      <w:r>
        <w:t xml:space="preserve">.</w:t>
      </w:r>
    </w:p>
    <w:bookmarkEnd w:id="83"/>
    <w:bookmarkStart w:id="85" w:name="ref-hyndman2006mase"/>
    <w:p>
      <w:pPr>
        <w:pStyle w:val="Bibliography"/>
      </w:pPr>
      <w:r>
        <w:t xml:space="preserve">Hyndman, Rob J., and Anne B. Koehler. 2006.</w:t>
      </w:r>
      <w:r>
        <w:t xml:space="preserve"> </w:t>
      </w:r>
      <w:r>
        <w:t xml:space="preserve">“Another Look at Measures of Forecast Accuracy.”</w:t>
      </w:r>
      <w:r>
        <w:t xml:space="preserve"> </w:t>
      </w:r>
      <w:r>
        <w:rPr>
          <w:i/>
          <w:iCs/>
        </w:rPr>
        <w:t xml:space="preserve">International Journal of Forecasting</w:t>
      </w:r>
      <w:r>
        <w:t xml:space="preserve"> </w:t>
      </w:r>
      <w:r>
        <w:t xml:space="preserve">22 (4): 679–88.</w:t>
      </w:r>
      <w:r>
        <w:t xml:space="preserve"> </w:t>
      </w:r>
      <w:hyperlink r:id="rId84">
        <w:r>
          <w:rPr>
            <w:rStyle w:val="Hyperlink"/>
          </w:rPr>
          <w:t xml:space="preserve">https://doi.org/10.1016/j.ijforecast.2006.03.001</w:t>
        </w:r>
      </w:hyperlink>
      <w:r>
        <w:t xml:space="preserve">.</w:t>
      </w:r>
    </w:p>
    <w:bookmarkEnd w:id="85"/>
    <w:bookmarkStart w:id="87" w:name="ref-iosup2008gwa"/>
    <w:p>
      <w:pPr>
        <w:pStyle w:val="Bibliography"/>
      </w:pPr>
      <w:r>
        <w:t xml:space="preserve">Iosup, Alexandru, Hui Li, Mathieu Jan, et al. 2008.</w:t>
      </w:r>
      <w:r>
        <w:t xml:space="preserve"> </w:t>
      </w:r>
      <w:r>
        <w:t xml:space="preserve">“The</w:t>
      </w:r>
      <w:r>
        <w:t xml:space="preserve"> </w:t>
      </w:r>
      <w:r>
        <w:t xml:space="preserve">Grid</w:t>
      </w:r>
      <w:r>
        <w:t xml:space="preserve"> </w:t>
      </w:r>
      <w:r>
        <w:t xml:space="preserve">Workloads Archive.”</w:t>
      </w:r>
      <w:r>
        <w:t xml:space="preserve"> </w:t>
      </w:r>
      <w:r>
        <w:rPr>
          <w:i/>
          <w:iCs/>
        </w:rPr>
        <w:t xml:space="preserve">Future Generation Computer Systems</w:t>
      </w:r>
      <w:r>
        <w:t xml:space="preserve"> </w:t>
      </w:r>
      <w:r>
        <w:t xml:space="preserve">24 (7): 672–86.</w:t>
      </w:r>
      <w:r>
        <w:t xml:space="preserve"> </w:t>
      </w:r>
      <w:hyperlink r:id="rId86">
        <w:r>
          <w:rPr>
            <w:rStyle w:val="Hyperlink"/>
          </w:rPr>
          <w:t xml:space="preserve">https://doi.org/10.1016/j.future.2008.02.003</w:t>
        </w:r>
      </w:hyperlink>
      <w:r>
        <w:t xml:space="preserve">.</w:t>
      </w:r>
    </w:p>
    <w:bookmarkEnd w:id="87"/>
    <w:bookmarkStart w:id="89" w:name="ref-kirchoff2024provisioning"/>
    <w:p>
      <w:pPr>
        <w:pStyle w:val="Bibliography"/>
      </w:pPr>
      <w:r>
        <w:t xml:space="preserve">Kirchoff, Dionatrã F., Vinícius Meyer, Rodrigo N. Calheiros, and Cesar A. F. De Rose. 2024.</w:t>
      </w:r>
      <w:r>
        <w:t xml:space="preserve"> </w:t>
      </w:r>
      <w:r>
        <w:t xml:space="preserve">“Evaluating Machine Learning Prediction Techniques and Their Impact on Proactive Resource Provisioning for Cloud Environments.”</w:t>
      </w:r>
      <w:r>
        <w:t xml:space="preserve"> </w:t>
      </w:r>
      <w:r>
        <w:rPr>
          <w:i/>
          <w:iCs/>
        </w:rPr>
        <w:t xml:space="preserve">The Journal of Supercomputing</w:t>
      </w:r>
      <w:r>
        <w:t xml:space="preserve"> </w:t>
      </w:r>
      <w:r>
        <w:t xml:space="preserve">80 (15): 21920–51.</w:t>
      </w:r>
      <w:r>
        <w:t xml:space="preserve"> </w:t>
      </w:r>
      <w:hyperlink r:id="rId88">
        <w:r>
          <w:rPr>
            <w:rStyle w:val="Hyperlink"/>
          </w:rPr>
          <w:t xml:space="preserve">https://doi.org/10.1007/s11227-024-06303-6</w:t>
        </w:r>
      </w:hyperlink>
      <w:r>
        <w:t xml:space="preserve">.</w:t>
      </w:r>
    </w:p>
    <w:bookmarkEnd w:id="89"/>
    <w:bookmarkStart w:id="91" w:name="ref-musa2024costeffective"/>
    <w:p>
      <w:pPr>
        <w:pStyle w:val="Bibliography"/>
      </w:pPr>
      <w:r>
        <w:t xml:space="preserve">Musa, Saira, and Douglas G. Down. 2024.</w:t>
      </w:r>
      <w:r>
        <w:t xml:space="preserve"> </w:t>
      </w:r>
      <w:r>
        <w:t xml:space="preserve">“Cost-Effective Cloud Resource Provisioning Using Linear Regression.”</w:t>
      </w:r>
      <w:r>
        <w:t xml:space="preserve"> </w:t>
      </w:r>
      <w:r>
        <w:rPr>
          <w:i/>
          <w:iCs/>
        </w:rPr>
        <w:t xml:space="preserve">2024 IEEE International Conference on Cloud Computing Technology and Science (CloudCom)</w:t>
      </w:r>
      <w:r>
        <w:t xml:space="preserve"> </w:t>
      </w:r>
      <w:r>
        <w:t xml:space="preserve">(Abu Dhabi, United Arab Emirates), 176–83.</w:t>
      </w:r>
      <w:r>
        <w:t xml:space="preserve"> </w:t>
      </w:r>
      <w:hyperlink r:id="rId90">
        <w:r>
          <w:rPr>
            <w:rStyle w:val="Hyperlink"/>
          </w:rPr>
          <w:t xml:space="preserve">https://doi.org/10.1109/CloudCom62794.2024.00036</w:t>
        </w:r>
      </w:hyperlink>
      <w:r>
        <w:t xml:space="preserve">.</w:t>
      </w:r>
    </w:p>
    <w:bookmarkEnd w:id="91"/>
    <w:bookmarkStart w:id="93" w:name="ref-rzadca2020autopilot"/>
    <w:p>
      <w:pPr>
        <w:pStyle w:val="Bibliography"/>
      </w:pPr>
      <w:r>
        <w:t xml:space="preserve">Rzadca, Krzysztof, Pawel Findeisen, Jacek Swiderski, et al. 2020.</w:t>
      </w:r>
      <w:r>
        <w:t xml:space="preserve"> </w:t>
      </w:r>
      <w:r>
        <w:t xml:space="preserve">“Autopilot: Workload Autoscaling at</w:t>
      </w:r>
      <w:r>
        <w:t xml:space="preserve"> </w:t>
      </w:r>
      <w:r>
        <w:t xml:space="preserve">Google</w:t>
      </w:r>
      <w:r>
        <w:t xml:space="preserve">.”</w:t>
      </w:r>
      <w:r>
        <w:t xml:space="preserve"> </w:t>
      </w:r>
      <w:r>
        <w:rPr>
          <w:i/>
          <w:iCs/>
        </w:rPr>
        <w:t xml:space="preserve">Proceedings of the Fifteenth European Conference on Computer Systems (EuroSys ’20)</w:t>
      </w:r>
      <w:r>
        <w:t xml:space="preserve">, 1–16.</w:t>
      </w:r>
      <w:r>
        <w:t xml:space="preserve"> </w:t>
      </w:r>
      <w:hyperlink r:id="rId92">
        <w:r>
          <w:rPr>
            <w:rStyle w:val="Hyperlink"/>
          </w:rPr>
          <w:t xml:space="preserve">https://doi.org/10.1145/3342195.3387524</w:t>
        </w:r>
      </w:hyperlink>
      <w:r>
        <w:t xml:space="preserve">.</w:t>
      </w:r>
    </w:p>
    <w:bookmarkEnd w:id="93"/>
    <w:bookmarkStart w:id="95" w:name="ref-shen2015bitbrains"/>
    <w:p>
      <w:pPr>
        <w:pStyle w:val="Bibliography"/>
      </w:pPr>
      <w:r>
        <w:t xml:space="preserve">Shen, Siqi, Vincent van Beek, and Alexandru Iosup. 2015.</w:t>
      </w:r>
      <w:r>
        <w:t xml:space="preserve"> </w:t>
      </w:r>
      <w:r>
        <w:t xml:space="preserve">“Statistical Characterization of Business-Critical Workloads Hosted in Cloud Datacenters.”</w:t>
      </w:r>
      <w:r>
        <w:t xml:space="preserve"> </w:t>
      </w:r>
      <w:r>
        <w:rPr>
          <w:i/>
          <w:iCs/>
        </w:rPr>
        <w:t xml:space="preserve">2015 15th IEEE/ACM Int. Symp. On Cluster, Cloud and Grid Computing (CCGrid)</w:t>
      </w:r>
      <w:r>
        <w:t xml:space="preserve">, 465–74.</w:t>
      </w:r>
      <w:r>
        <w:t xml:space="preserve"> </w:t>
      </w:r>
      <w:hyperlink r:id="rId94">
        <w:r>
          <w:rPr>
            <w:rStyle w:val="Hyperlink"/>
          </w:rPr>
          <w:t xml:space="preserve">https://doi.org/10.1109/CCGrid.2015.60</w:t>
        </w:r>
      </w:hyperlink>
      <w:r>
        <w:t xml:space="preserve">.</w:t>
      </w:r>
    </w:p>
    <w:bookmarkEnd w:id="95"/>
    <w:bookmarkStart w:id="97" w:name="ref-taylor2018prophet"/>
    <w:p>
      <w:pPr>
        <w:pStyle w:val="Bibliography"/>
      </w:pPr>
      <w:r>
        <w:t xml:space="preserve">Taylor, Sean J., and Benjamin Letham. 2018.</w:t>
      </w:r>
      <w:r>
        <w:t xml:space="preserve"> </w:t>
      </w:r>
      <w:r>
        <w:t xml:space="preserve">“Forecasting at Scale.”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72 (1): 37–45.</w:t>
      </w:r>
      <w:r>
        <w:t xml:space="preserve"> </w:t>
      </w:r>
      <w:hyperlink r:id="rId96">
        <w:r>
          <w:rPr>
            <w:rStyle w:val="Hyperlink"/>
          </w:rPr>
          <w:t xml:space="preserve">https://doi.org/10.1080/00031305.2017.1380080</w:t>
        </w:r>
      </w:hyperlink>
      <w:r>
        <w:t xml:space="preserve">.</w:t>
      </w:r>
    </w:p>
    <w:bookmarkEnd w:id="97"/>
    <w:bookmarkStart w:id="99" w:name="ref-wang2014optimal"/>
    <w:p>
      <w:pPr>
        <w:pStyle w:val="Bibliography"/>
      </w:pPr>
      <w:r>
        <w:t xml:space="preserve">Wang, Wei, Ben Liang, and Baochun Li. 2015.</w:t>
      </w:r>
      <w:r>
        <w:t xml:space="preserve"> </w:t>
      </w:r>
      <w:r>
        <w:t xml:space="preserve">“Optimal Online Multi-Instance Acquisition in</w:t>
      </w:r>
      <w:r>
        <w:t xml:space="preserve"> </w:t>
      </w:r>
      <w:r>
        <w:t xml:space="preserve">IaaS</w:t>
      </w:r>
      <w:r>
        <w:t xml:space="preserve"> </w:t>
      </w:r>
      <w:r>
        <w:t xml:space="preserve">Clouds.”</w:t>
      </w:r>
      <w:r>
        <w:t xml:space="preserve"> </w:t>
      </w:r>
      <w:r>
        <w:rPr>
          <w:i/>
          <w:iCs/>
        </w:rPr>
        <w:t xml:space="preserve">IEEE Transactions on Parallel and Distributed Systems</w:t>
      </w:r>
      <w:r>
        <w:t xml:space="preserve"> </w:t>
      </w:r>
      <w:r>
        <w:t xml:space="preserve">26 (12): 3407–19.</w:t>
      </w:r>
      <w:r>
        <w:t xml:space="preserve"> </w:t>
      </w:r>
      <w:hyperlink r:id="rId98">
        <w:r>
          <w:rPr>
            <w:rStyle w:val="Hyperlink"/>
          </w:rPr>
          <w:t xml:space="preserve">https://doi.org/10.1109/TPDS.2014.2385697</w:t>
        </w:r>
      </w:hyperlink>
      <w:r>
        <w:t xml:space="preserve">.</w:t>
      </w:r>
    </w:p>
    <w:bookmarkEnd w:id="99"/>
    <w:bookmarkStart w:id="101" w:name="ref-wang2014dynamic"/>
    <w:p>
      <w:pPr>
        <w:pStyle w:val="Bibliography"/>
      </w:pPr>
      <w:r>
        <w:t xml:space="preserve">Wang, Wei, Di Niu, Ben Liang, and Baochun Li. 2015.</w:t>
      </w:r>
      <w:r>
        <w:t xml:space="preserve"> </w:t>
      </w:r>
      <w:r>
        <w:t xml:space="preserve">“Dynamic Cloud Instance Acquisition via</w:t>
      </w:r>
      <w:r>
        <w:t xml:space="preserve"> </w:t>
      </w:r>
      <w:r>
        <w:t xml:space="preserve">IaaS</w:t>
      </w:r>
      <w:r>
        <w:t xml:space="preserve"> </w:t>
      </w:r>
      <w:r>
        <w:t xml:space="preserve">Cloud Brokerage.”</w:t>
      </w:r>
      <w:r>
        <w:t xml:space="preserve"> </w:t>
      </w:r>
      <w:r>
        <w:rPr>
          <w:i/>
          <w:iCs/>
        </w:rPr>
        <w:t xml:space="preserve">IEEE Transactions on Parallel and Distributed Systems</w:t>
      </w:r>
      <w:r>
        <w:t xml:space="preserve"> </w:t>
      </w:r>
      <w:r>
        <w:t xml:space="preserve">26 (6): 1580–93.</w:t>
      </w:r>
      <w:r>
        <w:t xml:space="preserve"> </w:t>
      </w:r>
      <w:hyperlink r:id="rId100">
        <w:r>
          <w:rPr>
            <w:rStyle w:val="Hyperlink"/>
          </w:rPr>
          <w:t xml:space="preserve">https://doi.org/10.1109/TPDS.2014.2326409</w:t>
        </w:r>
      </w:hyperlink>
      <w:r>
        <w:t xml:space="preserve">.</w:t>
      </w:r>
    </w:p>
    <w:bookmarkEnd w:id="101"/>
    <w:bookmarkStart w:id="103" w:name="ref-yadwadkar2017paris"/>
    <w:p>
      <w:pPr>
        <w:pStyle w:val="Bibliography"/>
      </w:pPr>
      <w:r>
        <w:t xml:space="preserve">Yadwadkar, Neeraja J., Bharath Hariharan, Joseph E. Gonzalez, Burton Smith, and Randy H. Katz. 2017.</w:t>
      </w:r>
      <w:r>
        <w:t xml:space="preserve"> </w:t>
      </w:r>
      <w:r>
        <w:t xml:space="preserve">“Selecting the Best</w:t>
      </w:r>
      <w:r>
        <w:t xml:space="preserve"> </w:t>
      </w:r>
      <w:r>
        <w:t xml:space="preserve">VM</w:t>
      </w:r>
      <w:r>
        <w:t xml:space="preserve"> </w:t>
      </w:r>
      <w:r>
        <w:t xml:space="preserve">Across Multiple Public Clouds: A Data-Driven Performance Modeling Approach.”</w:t>
      </w:r>
      <w:r>
        <w:t xml:space="preserve"> </w:t>
      </w:r>
      <w:r>
        <w:rPr>
          <w:i/>
          <w:iCs/>
        </w:rPr>
        <w:t xml:space="preserve">Proceedings of the 2017 Symposium on Cloud Computing (SoCC ’17)</w:t>
      </w:r>
      <w:r>
        <w:t xml:space="preserve"> </w:t>
      </w:r>
      <w:r>
        <w:t xml:space="preserve">(New York, NY, USA), 452–65.</w:t>
      </w:r>
      <w:r>
        <w:t xml:space="preserve"> </w:t>
      </w:r>
      <w:hyperlink r:id="rId102">
        <w:r>
          <w:rPr>
            <w:rStyle w:val="Hyperlink"/>
          </w:rPr>
          <w:t xml:space="preserve">https://doi.org/10.1145/3127479.3131614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df" /><Relationship Type="http://schemas.openxmlformats.org/officeDocument/2006/relationships/image" Id="rId33" Target="media/rId33.pdf" /><Relationship Type="http://schemas.openxmlformats.org/officeDocument/2006/relationships/image" Id="rId37" Target="media/rId37.pdf" /><Relationship Type="http://schemas.openxmlformats.org/officeDocument/2006/relationships/hyperlink" Id="rId88" Target="https://doi.org/10.1007/s11227-024-06303-6" TargetMode="External" /><Relationship Type="http://schemas.openxmlformats.org/officeDocument/2006/relationships/hyperlink" Id="rId80" Target="https://doi.org/10.1016/S0169-2070(96)00719-4" TargetMode="External" /><Relationship Type="http://schemas.openxmlformats.org/officeDocument/2006/relationships/hyperlink" Id="rId64" Target="https://doi.org/10.1016/j.cor.2020.104959" TargetMode="External" /><Relationship Type="http://schemas.openxmlformats.org/officeDocument/2006/relationships/hyperlink" Id="rId68" Target="https://doi.org/10.1016/j.ejor.2020.06.027" TargetMode="External" /><Relationship Type="http://schemas.openxmlformats.org/officeDocument/2006/relationships/hyperlink" Id="rId86" Target="https://doi.org/10.1016/j.future.2008.02.003" TargetMode="External" /><Relationship Type="http://schemas.openxmlformats.org/officeDocument/2006/relationships/hyperlink" Id="rId58" Target="https://doi.org/10.1016/j.future.2025.107833" TargetMode="External" /><Relationship Type="http://schemas.openxmlformats.org/officeDocument/2006/relationships/hyperlink" Id="rId84" Target="https://doi.org/10.1016/j.ijforecast.2006.03.001" TargetMode="External" /><Relationship Type="http://schemas.openxmlformats.org/officeDocument/2006/relationships/hyperlink" Id="rId96" Target="https://doi.org/10.1080/00031305.2017.1380080" TargetMode="External" /><Relationship Type="http://schemas.openxmlformats.org/officeDocument/2006/relationships/hyperlink" Id="rId78" Target="https://doi.org/10.1080/07350015.1995.10524599" TargetMode="External" /><Relationship Type="http://schemas.openxmlformats.org/officeDocument/2006/relationships/hyperlink" Id="rId94" Target="https://doi.org/10.1109/CCGrid.2015.60" TargetMode="External" /><Relationship Type="http://schemas.openxmlformats.org/officeDocument/2006/relationships/hyperlink" Id="rId90" Target="https://doi.org/10.1109/CloudCom62794.2024.00036" TargetMode="External" /><Relationship Type="http://schemas.openxmlformats.org/officeDocument/2006/relationships/hyperlink" Id="rId60" Target="https://doi.org/10.1109/CloudCom67567.2025.11331429" TargetMode="External" /><Relationship Type="http://schemas.openxmlformats.org/officeDocument/2006/relationships/hyperlink" Id="rId100" Target="https://doi.org/10.1109/TPDS.2014.2326409" TargetMode="External" /><Relationship Type="http://schemas.openxmlformats.org/officeDocument/2006/relationships/hyperlink" Id="rId98" Target="https://doi.org/10.1109/TPDS.2014.2385697" TargetMode="External" /><Relationship Type="http://schemas.openxmlformats.org/officeDocument/2006/relationships/hyperlink" Id="rId72" Target="https://doi.org/10.1109/TSC.2011.7" TargetMode="External" /><Relationship Type="http://schemas.openxmlformats.org/officeDocument/2006/relationships/hyperlink" Id="rId102" Target="https://doi.org/10.1145/3127479.3131614" TargetMode="External" /><Relationship Type="http://schemas.openxmlformats.org/officeDocument/2006/relationships/hyperlink" Id="rId76" Target="https://doi.org/10.1145/3132747.3132772" TargetMode="External" /><Relationship Type="http://schemas.openxmlformats.org/officeDocument/2006/relationships/hyperlink" Id="rId92" Target="https://doi.org/10.1145/3342195.3387524" TargetMode="External" /><Relationship Type="http://schemas.openxmlformats.org/officeDocument/2006/relationships/hyperlink" Id="rId74" Target="https://doi.org/10.1177/10591478241251614" TargetMode="External" /><Relationship Type="http://schemas.openxmlformats.org/officeDocument/2006/relationships/hyperlink" Id="rId66" Target="https://doi.org/10.1287/opre.2018.1757" TargetMode="External" /><Relationship Type="http://schemas.openxmlformats.org/officeDocument/2006/relationships/hyperlink" Id="rId70" Target="https://doi.org/10.14778/3554821.3554840" TargetMode="External" /><Relationship Type="http://schemas.openxmlformats.org/officeDocument/2006/relationships/hyperlink" Id="rId82" Target="https://doi.org/10.18637/jss.v027.i03" TargetMode="External" /><Relationship Type="http://schemas.openxmlformats.org/officeDocument/2006/relationships/hyperlink" Id="rId62" Target="https://doi.org/10.2307/1906813" TargetMode="External" /><Relationship Type="http://schemas.openxmlformats.org/officeDocument/2006/relationships/hyperlink" Id="rId53" Target="mailto:Ihazem28@gmail.com" TargetMode="External" /><Relationship Type="http://schemas.openxmlformats.org/officeDocument/2006/relationships/hyperlink" Id="rId54" Target="mailto:ahmed.sameh.12543@gmail.com" TargetMode="External" /><Relationship Type="http://schemas.openxmlformats.org/officeDocument/2006/relationships/hyperlink" Id="rId56" Target="mailto:ehabjohn22@gmail.com" TargetMode="External" /><Relationship Type="http://schemas.openxmlformats.org/officeDocument/2006/relationships/hyperlink" Id="rId51" Target="mailto:ibrahimmohamedabdelsadek@gmail.com" TargetMode="External" /><Relationship Type="http://schemas.openxmlformats.org/officeDocument/2006/relationships/hyperlink" Id="rId55" Target="mailto:mahmoudkamel9102003@gmail.com" TargetMode="External" /><Relationship Type="http://schemas.openxmlformats.org/officeDocument/2006/relationships/hyperlink" Id="rId52" Target="mailto:mariamemadcs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https://doi.org/10.1007/s11227-024-06303-6" TargetMode="External" /><Relationship Type="http://schemas.openxmlformats.org/officeDocument/2006/relationships/hyperlink" Id="rId80" Target="https://doi.org/10.1016/S0169-2070(96)00719-4" TargetMode="External" /><Relationship Type="http://schemas.openxmlformats.org/officeDocument/2006/relationships/hyperlink" Id="rId64" Target="https://doi.org/10.1016/j.cor.2020.104959" TargetMode="External" /><Relationship Type="http://schemas.openxmlformats.org/officeDocument/2006/relationships/hyperlink" Id="rId68" Target="https://doi.org/10.1016/j.ejor.2020.06.027" TargetMode="External" /><Relationship Type="http://schemas.openxmlformats.org/officeDocument/2006/relationships/hyperlink" Id="rId86" Target="https://doi.org/10.1016/j.future.2008.02.003" TargetMode="External" /><Relationship Type="http://schemas.openxmlformats.org/officeDocument/2006/relationships/hyperlink" Id="rId58" Target="https://doi.org/10.1016/j.future.2025.107833" TargetMode="External" /><Relationship Type="http://schemas.openxmlformats.org/officeDocument/2006/relationships/hyperlink" Id="rId84" Target="https://doi.org/10.1016/j.ijforecast.2006.03.001" TargetMode="External" /><Relationship Type="http://schemas.openxmlformats.org/officeDocument/2006/relationships/hyperlink" Id="rId96" Target="https://doi.org/10.1080/00031305.2017.1380080" TargetMode="External" /><Relationship Type="http://schemas.openxmlformats.org/officeDocument/2006/relationships/hyperlink" Id="rId78" Target="https://doi.org/10.1080/07350015.1995.10524599" TargetMode="External" /><Relationship Type="http://schemas.openxmlformats.org/officeDocument/2006/relationships/hyperlink" Id="rId94" Target="https://doi.org/10.1109/CCGrid.2015.60" TargetMode="External" /><Relationship Type="http://schemas.openxmlformats.org/officeDocument/2006/relationships/hyperlink" Id="rId90" Target="https://doi.org/10.1109/CloudCom62794.2024.00036" TargetMode="External" /><Relationship Type="http://schemas.openxmlformats.org/officeDocument/2006/relationships/hyperlink" Id="rId60" Target="https://doi.org/10.1109/CloudCom67567.2025.11331429" TargetMode="External" /><Relationship Type="http://schemas.openxmlformats.org/officeDocument/2006/relationships/hyperlink" Id="rId100" Target="https://doi.org/10.1109/TPDS.2014.2326409" TargetMode="External" /><Relationship Type="http://schemas.openxmlformats.org/officeDocument/2006/relationships/hyperlink" Id="rId98" Target="https://doi.org/10.1109/TPDS.2014.2385697" TargetMode="External" /><Relationship Type="http://schemas.openxmlformats.org/officeDocument/2006/relationships/hyperlink" Id="rId72" Target="https://doi.org/10.1109/TSC.2011.7" TargetMode="External" /><Relationship Type="http://schemas.openxmlformats.org/officeDocument/2006/relationships/hyperlink" Id="rId102" Target="https://doi.org/10.1145/3127479.3131614" TargetMode="External" /><Relationship Type="http://schemas.openxmlformats.org/officeDocument/2006/relationships/hyperlink" Id="rId76" Target="https://doi.org/10.1145/3132747.3132772" TargetMode="External" /><Relationship Type="http://schemas.openxmlformats.org/officeDocument/2006/relationships/hyperlink" Id="rId92" Target="https://doi.org/10.1145/3342195.3387524" TargetMode="External" /><Relationship Type="http://schemas.openxmlformats.org/officeDocument/2006/relationships/hyperlink" Id="rId74" Target="https://doi.org/10.1177/10591478241251614" TargetMode="External" /><Relationship Type="http://schemas.openxmlformats.org/officeDocument/2006/relationships/hyperlink" Id="rId66" Target="https://doi.org/10.1287/opre.2018.1757" TargetMode="External" /><Relationship Type="http://schemas.openxmlformats.org/officeDocument/2006/relationships/hyperlink" Id="rId70" Target="https://doi.org/10.14778/3554821.3554840" TargetMode="External" /><Relationship Type="http://schemas.openxmlformats.org/officeDocument/2006/relationships/hyperlink" Id="rId82" Target="https://doi.org/10.18637/jss.v027.i03" TargetMode="External" /><Relationship Type="http://schemas.openxmlformats.org/officeDocument/2006/relationships/hyperlink" Id="rId62" Target="https://doi.org/10.2307/1906813" TargetMode="External" /><Relationship Type="http://schemas.openxmlformats.org/officeDocument/2006/relationships/hyperlink" Id="rId53" Target="mailto:Ihazem28@gmail.com" TargetMode="External" /><Relationship Type="http://schemas.openxmlformats.org/officeDocument/2006/relationships/hyperlink" Id="rId54" Target="mailto:ahmed.sameh.12543@gmail.com" TargetMode="External" /><Relationship Type="http://schemas.openxmlformats.org/officeDocument/2006/relationships/hyperlink" Id="rId56" Target="mailto:ehabjohn22@gmail.com" TargetMode="External" /><Relationship Type="http://schemas.openxmlformats.org/officeDocument/2006/relationships/hyperlink" Id="rId51" Target="mailto:ibrahimmohamedabdelsadek@gmail.com" TargetMode="External" /><Relationship Type="http://schemas.openxmlformats.org/officeDocument/2006/relationships/hyperlink" Id="rId55" Target="mailto:mahmoudkamel9102003@gmail.com" TargetMode="External" /><Relationship Type="http://schemas.openxmlformats.org/officeDocument/2006/relationships/hyperlink" Id="rId52" Target="mailto:mariamemadcs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The Price of Conservatism in Cloud Optimization: Empirical Evidence from Right-Sizing and Reservation Heuristics</dc:title>
  <dc:creator>Ibrahim Mohamed; Mariam Emad; Hazem Ibrahim; Ahmed Sameh; Mahmoud Ahmed; John Ehab</dc:creator>
  <cp:keywords>cloud cost optimization, right-sizing, capacity reservation, resource management, cloud pricing, workload traces, FinOps, empirical evaluation</cp:keywords>
  <dcterms:created xsi:type="dcterms:W3CDTF">2026-07-10T18:14:14Z</dcterms:created>
  <dcterms:modified xsi:type="dcterms:W3CDTF">2026-07-10T18:14:14Z</dcterms:modified>
  <dc:subject>Cloud cost optimization, right-sizing, and reservation heuristics</dc:subject>
  <cp:lastModifiedBy>Ibrahim Mohamed; Mariam Emad; Hazem Ibrahim; Ahmed Sameh; Mahmoud Ahmed; John Ehab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reference-section-title">
    <vt:lpwstr>References</vt:lpwstr>
  </property>
</Properties>
</file>